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4D6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rFonts w:ascii="Montserrat" w:hAnsi="Montserrat" w:eastAsia="Montserrat" w:cs="Montserrat"/>
          <w:b/>
          <w:bCs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1F2329"/>
          <w:spacing w:val="0"/>
          <w:shd w:val="clear" w:fill="FFFFFF"/>
        </w:rPr>
        <w:t>非传统水源利用率计算书</w:t>
      </w:r>
    </w:p>
    <w:p w14:paraId="62CE04C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一、计算目的</w:t>
      </w:r>
    </w:p>
    <w:p w14:paraId="2A969C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784C90F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准确计算某区域非传统水源利用率，为水资源合理规划和利用提供数据支持，助力提升水资源综合利用效率，推动可持续发展。</w:t>
      </w:r>
    </w:p>
    <w:p w14:paraId="5C6564E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二、数据收集</w:t>
      </w:r>
    </w:p>
    <w:p w14:paraId="13569DB3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0C8ABD8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非传统水源取水量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</w:t>
      </w:r>
    </w:p>
    <w:p w14:paraId="4E8AC789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雨水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：通过对区域内各雨水收集设施的统计，在统计周期（如一年）内，雨水收集总量为 [V1] 立方米。收集设施包括建筑物屋顶雨水收集系统、露天场地雨水收集沟及蓄水池等。例如，某大型商场屋顶雨水收集系统一年收集雨水 [X1] 立方米，周边公园露天场地雨水收集系统收集雨水 [X2] 立方米等，汇总得出 [V1]。</w:t>
      </w:r>
    </w:p>
    <w:p w14:paraId="50DCBB12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再生水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：与城市污水处理厂及相关工业企业再生水生产部门沟通获取数据。污水处理厂一年处理污水后作为再生水回用量为 [V21] 立方米，主要用于工业冷却、景观水体补水等。工业企业自身对生产废水进行处理后回用的水量为 [V22] 立方米。则再生水总取水量 [V2]=[V21]+[V22]。</w:t>
      </w:r>
    </w:p>
    <w:p w14:paraId="76E0FBED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其他非传统水源（如矿井水等）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：若存在此类水源利用，统计该水源在统计周期内的取水量为 [V3] 立方米。如某矿区处理后用于周边区域降尘和绿化的矿井水取水量。</w:t>
      </w:r>
    </w:p>
    <w:p w14:paraId="341F3B48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144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非传统水源总取水量 [V 非传统]=[V1]+[V2]+[V3]。</w:t>
      </w:r>
    </w:p>
    <w:p w14:paraId="3FD4113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总用水量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</w:t>
      </w:r>
    </w:p>
    <w:p w14:paraId="68CA3E0D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工业用水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：对区域内各类工业企业用水进行调查，统计工业生产过程中新鲜水取用量为 [V 工新] 立方米，加上再生水等非传统水源用于工业的量（包含在 [V 非传统] 中已统计的工业用再生水量等），工业总用水量 [V 工]=[V 工新]+ 工业用非传统水源量。</w:t>
      </w:r>
    </w:p>
    <w:p w14:paraId="264083A7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生活用水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：通过居民用水统计数据及公共建筑用水数据，得出生活领域新鲜水取用量为 [V 生新] 立方米，如居民家庭用水、学校医院等公共建筑用水等，生活总用水量 [V 生]=[V 生新]+ 生活用非传统水源量（如部分小区雨水用于冲厕等）。</w:t>
      </w:r>
    </w:p>
    <w:p w14:paraId="310BDA68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0"/>
        <w:ind w:left="144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农业用水（若涉及非传统水源利用）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：若农业灌溉等使用非传统水源，统计农业新鲜水取用量为 [V 农新] 立方米，农业总用水量 [V 农]=[V 农新]+ 农业用非传统水源量。</w:t>
      </w:r>
    </w:p>
    <w:p w14:paraId="2CC97798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0"/>
        <w:ind w:left="144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总用水量 [V 总]=[V 工]+[V 生]+[V 农]（若有其他用水领域也一并计入）。</w:t>
      </w:r>
    </w:p>
    <w:p w14:paraId="3258E56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三、利用率计算</w:t>
      </w:r>
    </w:p>
    <w:p w14:paraId="0CA3B754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70F3637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非传统水源利用率（%）=[(V1 + V2 + V3) / V 总]×100 = [V 非传统 / V 总]×100 。将收集到的数据代入公式进行计算，得出该区域非传统水源利用率具体数值。例如，若 [V 非传统]=5000 立方米，[V 总]=20000 立方米，则非传统水源利用率 = (5000 / 20000)×100 = 25% 。</w:t>
      </w:r>
    </w:p>
    <w:p w14:paraId="70771BC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四、结果分析</w:t>
      </w:r>
    </w:p>
    <w:p w14:paraId="27A60BA6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7676C7D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根据计算得出的非传统水源利用率，与国内外先进地区或相关规划目标进行对比。若利用率较低，分析原因，可能是雨水收集设施不完善，导致雨水收集量有限；再生水利用推广力度不足，工业企业或其他用水户对再生水接受度不高；或者缺乏有效的政策激励机制，影响非传统水源利用项目的建设和运营。</w:t>
      </w:r>
    </w:p>
    <w:p w14:paraId="027892A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针对分析出的问题，提出改进措施。如加大对雨水收集设施建设的投入，优化设施布局；加强再生水利用宣传，制定鼓励政策，如对使用再生水的企业给予税收优惠或补贴；完善水资源管理体制，加强对非传统水源利用的监管和引导，以提高非传统水源利用率，促进水资源的可持续利用。</w:t>
      </w:r>
    </w:p>
    <w:p w14:paraId="6C19D1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shd w:val="clear" w:fill="FFFFFF"/>
          <w:lang w:val="en-US" w:eastAsia="zh-CN" w:bidi="ar"/>
        </w:rPr>
        <w:t>分享</w:t>
      </w:r>
    </w:p>
    <w:p w14:paraId="6DB6704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6F6229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0550C"/>
    <w:multiLevelType w:val="multilevel"/>
    <w:tmpl w:val="E36055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EAD102D4"/>
    <w:multiLevelType w:val="multilevel"/>
    <w:tmpl w:val="EAD102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31FA"/>
    <w:rsid w:val="35FB1E1E"/>
    <w:rsid w:val="439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2025-03-03T12:58:00Z</dcterms:created>
  <dc:creator>Gambler</dc:creator>
  <cp:lastModifiedBy>Gambler</cp:lastModifiedBy>
  <dcterms:modified xsi:type="dcterms:W3CDTF">2025-03-03T12:58:49Z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A28BB0F2BC4248BA89FA0AFD04D04FDB_13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