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CFCC9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6.1.3 停车场应具有电动汽车充电设施或具备充电设施的安装条件，并应合理设置电动汽车和无障碍汽车停车位。</w:t>
      </w:r>
    </w:p>
    <w:p w14:paraId="253EFB3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2B01DD6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832CAD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FD671C4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场地内是否设置电动汽车停车位：</w:t>
      </w:r>
      <w:sdt>
        <w:sdtPr>
          <w:rPr>
            <w:rFonts w:hint="eastAsia" w:ascii="Times New Roman" w:hAnsi="Times New Roman" w:cs="Times New Roman"/>
          </w:rPr>
          <w:id w:val="-95586854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25345254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否；是否设置无障碍汽车停车位：</w:t>
      </w:r>
      <w:sdt>
        <w:sdtPr>
          <w:rPr>
            <w:rFonts w:hint="eastAsia" w:ascii="Times New Roman" w:hAnsi="Times New Roman" w:cs="Times New Roman"/>
          </w:rPr>
          <w:id w:val="205897431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Times New Roman" w:hAnsi="Times New Roman" w:cs="Times New Roman"/>
            </w:rPr>
            <w:t>是</w:t>
          </w:r>
        </w:sdtContent>
      </w:sdt>
      <w:r>
        <w:rPr>
          <w:rFonts w:hint="eastAsia"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£</w:t>
          </w:r>
        </w:sdtContent>
      </w:sdt>
      <w:r>
        <w:rPr>
          <w:rFonts w:hint="eastAsia" w:ascii="Times New Roman" w:hAnsi="Times New Roman" w:cs="Times New Roman"/>
        </w:rPr>
        <w:t>否</w:t>
      </w:r>
    </w:p>
    <w:p w14:paraId="143D9720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场地内是否设有电动汽车充电设施：</w:t>
      </w:r>
      <w:sdt>
        <w:sdtPr>
          <w:rPr>
            <w:rFonts w:hint="eastAsia" w:ascii="Times New Roman" w:hAnsi="Times New Roman" w:cs="Times New Roman"/>
          </w:rPr>
          <w:id w:val="836504892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500832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否；若否，是否具备充电设施的安装条件：</w:t>
      </w:r>
      <w:sdt>
        <w:sdtPr>
          <w:rPr>
            <w:rFonts w:hint="eastAsia" w:ascii="Times New Roman" w:hAnsi="Times New Roman" w:cs="Times New Roman"/>
          </w:rPr>
          <w:id w:val="-13903839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£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19413387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</w:t>
      </w:r>
    </w:p>
    <w:p w14:paraId="08C9ED48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停车场所设置规模</w:t>
      </w:r>
    </w:p>
    <w:tbl>
      <w:tblPr>
        <w:tblStyle w:val="6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268"/>
        <w:gridCol w:w="2146"/>
        <w:gridCol w:w="1976"/>
      </w:tblGrid>
      <w:tr w14:paraId="201BF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 w14:paraId="1DFC8B10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 w14:paraId="53CCF7D5">
            <w:pPr>
              <w:jc w:val="center"/>
            </w:pPr>
            <w:r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 w14:paraId="0CA19170">
            <w:pPr>
              <w:jc w:val="center"/>
            </w:pPr>
            <w:r>
              <w:rPr>
                <w:rFonts w:hint="eastAsia"/>
              </w:rPr>
              <w:t>设计值（辆）</w:t>
            </w:r>
          </w:p>
        </w:tc>
        <w:tc>
          <w:tcPr>
            <w:tcW w:w="1976" w:type="dxa"/>
            <w:vAlign w:val="center"/>
          </w:tcPr>
          <w:p w14:paraId="6D97215E">
            <w:pPr>
              <w:jc w:val="center"/>
            </w:pPr>
            <w:r>
              <w:rPr>
                <w:rFonts w:hint="eastAsia"/>
              </w:rPr>
              <w:t>是否满足</w:t>
            </w:r>
          </w:p>
        </w:tc>
      </w:tr>
      <w:tr w14:paraId="7FEE2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 w14:paraId="66635945">
            <w:pPr>
              <w:jc w:val="center"/>
            </w:pPr>
            <w:r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 w14:paraId="462239AB">
            <w:pPr>
              <w:jc w:val="center"/>
            </w:pPr>
          </w:p>
        </w:tc>
        <w:tc>
          <w:tcPr>
            <w:tcW w:w="2146" w:type="dxa"/>
            <w:vAlign w:val="center"/>
          </w:tcPr>
          <w:p w14:paraId="5376E74C">
            <w:pPr>
              <w:jc w:val="center"/>
            </w:pPr>
          </w:p>
        </w:tc>
        <w:tc>
          <w:tcPr>
            <w:tcW w:w="1976" w:type="dxa"/>
            <w:vAlign w:val="center"/>
          </w:tcPr>
          <w:p w14:paraId="40F87ABC"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>
                            <w:rPr>
                              <w:rFonts w:hint="eastAsia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>
                                <w:rPr>
                                  <w:rFonts w:hint="eastAsi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£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868673299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 w14:paraId="74F6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 w14:paraId="05A193E8">
            <w:pPr>
              <w:jc w:val="center"/>
            </w:pPr>
            <w:r>
              <w:rPr>
                <w:rFonts w:hint="eastAsia"/>
              </w:rPr>
              <w:t>电动汽车停车位数量</w:t>
            </w:r>
          </w:p>
        </w:tc>
        <w:tc>
          <w:tcPr>
            <w:tcW w:w="2268" w:type="dxa"/>
            <w:vAlign w:val="center"/>
          </w:tcPr>
          <w:p w14:paraId="08A202C7">
            <w:pPr>
              <w:jc w:val="center"/>
            </w:pPr>
          </w:p>
        </w:tc>
        <w:tc>
          <w:tcPr>
            <w:tcW w:w="2146" w:type="dxa"/>
            <w:vAlign w:val="center"/>
          </w:tcPr>
          <w:p w14:paraId="7E7C2301">
            <w:pPr>
              <w:jc w:val="center"/>
            </w:pPr>
          </w:p>
        </w:tc>
        <w:tc>
          <w:tcPr>
            <w:tcW w:w="1976" w:type="dxa"/>
          </w:tcPr>
          <w:p w14:paraId="65D6C3BA"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£</w:t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1031414182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 w14:paraId="3B97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899" w:type="dxa"/>
            <w:vAlign w:val="center"/>
          </w:tcPr>
          <w:p w14:paraId="32515798"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 w14:paraId="46500135">
            <w:pPr>
              <w:jc w:val="center"/>
            </w:pPr>
          </w:p>
        </w:tc>
        <w:tc>
          <w:tcPr>
            <w:tcW w:w="2146" w:type="dxa"/>
            <w:vAlign w:val="center"/>
          </w:tcPr>
          <w:p w14:paraId="37D583C5">
            <w:pPr>
              <w:jc w:val="center"/>
            </w:pPr>
          </w:p>
        </w:tc>
        <w:tc>
          <w:tcPr>
            <w:tcW w:w="1976" w:type="dxa"/>
          </w:tcPr>
          <w:p w14:paraId="71716FCF"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951512651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</w:tbl>
    <w:p w14:paraId="37D0B85E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请简要说明机动车停车位设置、停车方式、停车场管理等。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31E8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356" w:type="dxa"/>
          </w:tcPr>
          <w:p w14:paraId="4DBE3FDC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  <w:p w14:paraId="6A0EFCC4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本项目设置有车辆管理系统，采用基于TCP/IP智能化设备网的IP数字一卡通系统，每个小区出入口均为一进一出，小区出入岗亭设置管理电脑，入口主机配置临时发卡器，卡片回收由人员手动完成。</w:t>
            </w:r>
          </w:p>
        </w:tc>
      </w:tr>
    </w:tbl>
    <w:p w14:paraId="09BBD94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EA9D0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提交材料及要求：</w:t>
      </w:r>
    </w:p>
    <w:p w14:paraId="5E5BE3C4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1）建筑专业竣工图纸及设计说明，应包括电动汽车停车位和无障碍停车位的设计内容；</w:t>
      </w:r>
    </w:p>
    <w:p w14:paraId="29ABBF3D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2）电气专业竣工图及设计说明，应包括充电设施条件、配电系统要求、布线系统要求、计量要求等。</w:t>
      </w:r>
    </w:p>
    <w:p w14:paraId="63D9C438"/>
    <w:p w14:paraId="62B49B1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6B3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356" w:type="dxa"/>
          </w:tcPr>
          <w:p w14:paraId="443B223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40652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52"/>
    <w:rsid w:val="00074A38"/>
    <w:rsid w:val="00313A8C"/>
    <w:rsid w:val="003239DC"/>
    <w:rsid w:val="003838DB"/>
    <w:rsid w:val="00710E52"/>
    <w:rsid w:val="0087326E"/>
    <w:rsid w:val="008E4A0D"/>
    <w:rsid w:val="00FF4DFD"/>
    <w:rsid w:val="3492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480</Words>
  <Characters>490</Characters>
  <Lines>4</Lines>
  <Paragraphs>1</Paragraphs>
  <TotalTime>1</TotalTime>
  <ScaleCrop>false</ScaleCrop>
  <LinksUpToDate>false</LinksUpToDate>
  <CharactersWithSpaces>502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Gambler</cp:lastModifiedBy>
  <dcterms:modified xsi:type="dcterms:W3CDTF">2025-03-13T00:37:55Z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80AFF1E6E0DC4FC583C019E0E68C8693_12</vt:lpwstr>
  </property>
</Properties>
</file>