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4BE1CD">
      <w:pPr>
        <w:pStyle w:val="3"/>
        <w:rPr>
          <w:sz w:val="24"/>
          <w:szCs w:val="40"/>
        </w:rPr>
      </w:pPr>
      <w:r>
        <w:rPr>
          <w:sz w:val="24"/>
          <w:szCs w:val="40"/>
        </w:rPr>
        <w:t>7.2.1</w:t>
      </w:r>
      <w:r>
        <w:rPr>
          <w:rFonts w:hint="eastAsia"/>
          <w:sz w:val="24"/>
          <w:szCs w:val="40"/>
        </w:rPr>
        <w:t>5合理选用建筑结构材料与构件。（</w:t>
      </w:r>
      <w:r>
        <w:rPr>
          <w:sz w:val="24"/>
          <w:szCs w:val="40"/>
        </w:rPr>
        <w:t>1</w:t>
      </w:r>
      <w:r>
        <w:rPr>
          <w:rFonts w:hint="eastAsia"/>
          <w:sz w:val="24"/>
          <w:szCs w:val="40"/>
        </w:rPr>
        <w:t>0分）</w:t>
      </w:r>
    </w:p>
    <w:p w14:paraId="2B2FBDA8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得分自评</w:t>
      </w:r>
    </w:p>
    <w:p w14:paraId="31C9C849">
      <w:pPr>
        <w:pStyle w:val="14"/>
        <w:numPr>
          <w:ilvl w:val="0"/>
          <w:numId w:val="1"/>
        </w:numPr>
        <w:spacing w:line="288" w:lineRule="auto"/>
        <w:ind w:firstLineChars="0"/>
        <w:rPr>
          <w:b/>
        </w:rPr>
      </w:pPr>
      <w:r>
        <w:rPr>
          <w:rFonts w:hint="eastAsia" w:ascii="宋体" w:hAnsi="宋体"/>
          <w:b/>
          <w:bCs/>
          <w:lang w:val="zh-CN"/>
        </w:rPr>
        <w:t>混凝土</w:t>
      </w:r>
      <w:r>
        <w:rPr>
          <w:rFonts w:ascii="宋体" w:hAnsi="宋体"/>
          <w:b/>
          <w:bCs/>
          <w:lang w:val="zh-CN"/>
        </w:rPr>
        <w:t>结构</w:t>
      </w:r>
    </w:p>
    <w:tbl>
      <w:tblPr>
        <w:tblStyle w:val="7"/>
        <w:tblW w:w="79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"/>
        <w:gridCol w:w="4252"/>
        <w:gridCol w:w="1545"/>
        <w:gridCol w:w="1328"/>
      </w:tblGrid>
      <w:tr w14:paraId="6EC889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834" w:type="dxa"/>
          </w:tcPr>
          <w:p w14:paraId="1FA2A977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序号</w:t>
            </w:r>
          </w:p>
        </w:tc>
        <w:tc>
          <w:tcPr>
            <w:tcW w:w="4252" w:type="dxa"/>
          </w:tcPr>
          <w:p w14:paraId="3F5EF66A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评价内容</w:t>
            </w:r>
          </w:p>
        </w:tc>
        <w:tc>
          <w:tcPr>
            <w:tcW w:w="1545" w:type="dxa"/>
          </w:tcPr>
          <w:p w14:paraId="7663F7E7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评价分值</w:t>
            </w:r>
          </w:p>
        </w:tc>
        <w:tc>
          <w:tcPr>
            <w:tcW w:w="1328" w:type="dxa"/>
          </w:tcPr>
          <w:p w14:paraId="4254AA26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自评得分</w:t>
            </w:r>
          </w:p>
        </w:tc>
      </w:tr>
      <w:tr w14:paraId="4DF6B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834" w:type="dxa"/>
            <w:vAlign w:val="center"/>
          </w:tcPr>
          <w:p w14:paraId="4E9F9891">
            <w:pPr>
              <w:jc w:val="center"/>
              <w:rPr>
                <w:rFonts w:ascii="Times New Roman" w:hAnsi="Times New Roman" w:cs="Times New Roman" w:eastAsiaTheme="majorEastAsia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1</w:t>
            </w:r>
          </w:p>
        </w:tc>
        <w:tc>
          <w:tcPr>
            <w:tcW w:w="4252" w:type="dxa"/>
            <w:vAlign w:val="center"/>
          </w:tcPr>
          <w:p w14:paraId="2CD6F5F4">
            <w:pPr>
              <w:rPr>
                <w:rFonts w:ascii="Times New Roman" w:hAnsi="Times New Roman" w:cs="Times New Roman" w:eastAsiaTheme="majorEastAsia"/>
                <w:szCs w:val="21"/>
              </w:rPr>
            </w:pPr>
            <w:bookmarkStart w:id="0" w:name="_Toc9945516"/>
            <w:bookmarkStart w:id="1" w:name="_Toc9944809"/>
            <w:bookmarkStart w:id="2" w:name="_Toc9945233"/>
            <w:bookmarkStart w:id="3" w:name="_Toc9945089"/>
            <w:bookmarkStart w:id="4" w:name="_Toc9945375"/>
            <w:r>
              <w:rPr>
                <w:rFonts w:ascii="Times New Roman" w:hAnsi="Times New Roman" w:cs="Times New Roman" w:eastAsiaTheme="majorEastAsia"/>
                <w:szCs w:val="21"/>
              </w:rPr>
              <w:t>400MPa级及以上强度等级钢筋应用比例达到85%</w:t>
            </w:r>
            <w:bookmarkEnd w:id="0"/>
            <w:bookmarkEnd w:id="1"/>
            <w:bookmarkEnd w:id="2"/>
            <w:bookmarkEnd w:id="3"/>
            <w:bookmarkEnd w:id="4"/>
          </w:p>
        </w:tc>
        <w:tc>
          <w:tcPr>
            <w:tcW w:w="1545" w:type="dxa"/>
            <w:vAlign w:val="center"/>
          </w:tcPr>
          <w:p w14:paraId="67D9EEB0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  <w:t>5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541487944"/>
            <w:placeholder>
              <w:docPart w:val="04E0A7B7DC984E77961CF6129A533449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328" w:type="dxa"/>
                <w:vAlign w:val="center"/>
              </w:tcPr>
              <w:p w14:paraId="27F82256">
                <w:pPr>
                  <w:spacing w:line="288" w:lineRule="auto"/>
                  <w:jc w:val="center"/>
                  <w:rPr>
                    <w:rFonts w:ascii="Times New Roman" w:hAnsi="Times New Roman" w:cs="Times New Roman" w:eastAsiaTheme="majorEastAsia"/>
                    <w:bCs/>
                    <w:szCs w:val="21"/>
                    <w:lang w:val="zh-C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4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</w:p>
            </w:tc>
          </w:sdtContent>
        </w:sdt>
      </w:tr>
      <w:tr w14:paraId="69D929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834" w:type="dxa"/>
            <w:vAlign w:val="center"/>
          </w:tcPr>
          <w:p w14:paraId="751D95FE">
            <w:pPr>
              <w:jc w:val="center"/>
              <w:rPr>
                <w:rFonts w:ascii="Times New Roman" w:hAnsi="Times New Roman" w:cs="Times New Roman" w:eastAsiaTheme="majorEastAsia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2</w:t>
            </w:r>
          </w:p>
        </w:tc>
        <w:tc>
          <w:tcPr>
            <w:tcW w:w="4252" w:type="dxa"/>
            <w:vAlign w:val="center"/>
          </w:tcPr>
          <w:p w14:paraId="727B6B57">
            <w:pPr>
              <w:rPr>
                <w:rFonts w:ascii="Times New Roman" w:hAnsi="Times New Roman" w:cs="Times New Roman" w:eastAsiaTheme="majorEastAsia"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混凝土竖向承重结构采用强度等级不小于C50混凝土用量占竖向承重结构中混凝土总量的比例达到50%</w:t>
            </w:r>
          </w:p>
        </w:tc>
        <w:tc>
          <w:tcPr>
            <w:tcW w:w="1545" w:type="dxa"/>
            <w:vAlign w:val="center"/>
          </w:tcPr>
          <w:p w14:paraId="18DCA10A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  <w:t>5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944681341"/>
            <w:placeholder>
              <w:docPart w:val="0330C10020B64C7587831081A83924D5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328" w:type="dxa"/>
                <w:vAlign w:val="center"/>
              </w:tcPr>
              <w:p w14:paraId="6620CBC9">
                <w:pPr>
                  <w:spacing w:line="288" w:lineRule="auto"/>
                  <w:jc w:val="center"/>
                  <w:rPr>
                    <w:rFonts w:ascii="Times New Roman" w:hAnsi="Times New Roman" w:cs="Times New Roman" w:eastAsiaTheme="majorEastAsia"/>
                    <w:bCs/>
                    <w:szCs w:val="21"/>
                    <w:lang w:val="zh-C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53844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086" w:type="dxa"/>
            <w:gridSpan w:val="2"/>
          </w:tcPr>
          <w:p w14:paraId="209B7C7D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  <w:t>合计</w:t>
            </w:r>
          </w:p>
        </w:tc>
        <w:tc>
          <w:tcPr>
            <w:tcW w:w="1545" w:type="dxa"/>
            <w:vAlign w:val="center"/>
          </w:tcPr>
          <w:p w14:paraId="1C790287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  <w:t>10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688181669"/>
            <w:placeholder>
              <w:docPart w:val="8888185DA6934D51A3E2FBFD08CA91F7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328" w:type="dxa"/>
                <w:vAlign w:val="center"/>
              </w:tcPr>
              <w:p w14:paraId="64CF9046">
                <w:pPr>
                  <w:spacing w:line="288" w:lineRule="auto"/>
                  <w:jc w:val="center"/>
                  <w:rPr>
                    <w:rFonts w:ascii="Times New Roman" w:hAnsi="Times New Roman" w:cs="Times New Roman" w:eastAsiaTheme="majorEastAsia"/>
                    <w:bCs/>
                    <w:szCs w:val="21"/>
                    <w:lang w:val="zh-C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4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</w:p>
            </w:tc>
          </w:sdtContent>
        </w:sdt>
      </w:tr>
    </w:tbl>
    <w:p w14:paraId="66AAADAA">
      <w:pPr>
        <w:pStyle w:val="14"/>
        <w:numPr>
          <w:ilvl w:val="0"/>
          <w:numId w:val="2"/>
        </w:numPr>
        <w:spacing w:line="288" w:lineRule="auto"/>
        <w:ind w:firstLineChars="0"/>
        <w:rPr>
          <w:b/>
        </w:rPr>
      </w:pPr>
      <w:r>
        <w:rPr>
          <w:rFonts w:hint="eastAsia" w:ascii="宋体" w:hAnsi="宋体"/>
          <w:b/>
          <w:bCs/>
          <w:lang w:val="zh-CN"/>
        </w:rPr>
        <w:t>钢</w:t>
      </w:r>
      <w:r>
        <w:rPr>
          <w:rFonts w:ascii="宋体" w:hAnsi="宋体"/>
          <w:b/>
          <w:bCs/>
          <w:lang w:val="zh-CN"/>
        </w:rPr>
        <w:t>结构</w:t>
      </w:r>
    </w:p>
    <w:tbl>
      <w:tblPr>
        <w:tblStyle w:val="7"/>
        <w:tblW w:w="79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"/>
        <w:gridCol w:w="4252"/>
        <w:gridCol w:w="1545"/>
        <w:gridCol w:w="1328"/>
      </w:tblGrid>
      <w:tr w14:paraId="3DC08C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834" w:type="dxa"/>
          </w:tcPr>
          <w:p w14:paraId="41CFCDD5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序号</w:t>
            </w:r>
          </w:p>
        </w:tc>
        <w:tc>
          <w:tcPr>
            <w:tcW w:w="4252" w:type="dxa"/>
          </w:tcPr>
          <w:p w14:paraId="216AC11A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评价内容</w:t>
            </w:r>
          </w:p>
        </w:tc>
        <w:tc>
          <w:tcPr>
            <w:tcW w:w="1545" w:type="dxa"/>
          </w:tcPr>
          <w:p w14:paraId="51B9C067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评价分值</w:t>
            </w:r>
          </w:p>
        </w:tc>
        <w:tc>
          <w:tcPr>
            <w:tcW w:w="1328" w:type="dxa"/>
          </w:tcPr>
          <w:p w14:paraId="5C2A8F74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自评得分</w:t>
            </w:r>
          </w:p>
        </w:tc>
      </w:tr>
      <w:tr w14:paraId="01A944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834" w:type="dxa"/>
            <w:vMerge w:val="restart"/>
            <w:vAlign w:val="center"/>
          </w:tcPr>
          <w:p w14:paraId="504C3E9E">
            <w:pPr>
              <w:jc w:val="center"/>
              <w:rPr>
                <w:rFonts w:ascii="Times New Roman" w:hAnsi="Times New Roman" w:cs="Times New Roman" w:eastAsiaTheme="majorEastAsia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1</w:t>
            </w:r>
          </w:p>
        </w:tc>
        <w:tc>
          <w:tcPr>
            <w:tcW w:w="4252" w:type="dxa"/>
            <w:vAlign w:val="center"/>
          </w:tcPr>
          <w:p w14:paraId="648E65FA">
            <w:pPr>
              <w:rPr>
                <w:rFonts w:ascii="Times New Roman" w:hAnsi="Times New Roman" w:cs="Times New Roman" w:eastAsiaTheme="majorEastAsia"/>
                <w:szCs w:val="21"/>
              </w:rPr>
            </w:pPr>
            <w:r>
              <w:rPr>
                <w:rFonts w:ascii="Times New Roman" w:hAnsi="Times New Roman" w:cs="Times New Roman"/>
              </w:rPr>
              <w:t>Q345及以上高强钢材用量占钢材总量的比例达到50%</w:t>
            </w:r>
          </w:p>
        </w:tc>
        <w:tc>
          <w:tcPr>
            <w:tcW w:w="1545" w:type="dxa"/>
          </w:tcPr>
          <w:p w14:paraId="66F3B61B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/>
                <w:bCs/>
                <w:lang w:val="zh-CN"/>
              </w:rPr>
              <w:t>3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94015472"/>
            <w:placeholder>
              <w:docPart w:val="3ECAD2FFBEC145EC8F89E1CC9F5089EF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328" w:type="dxa"/>
                <w:vMerge w:val="restart"/>
                <w:vAlign w:val="center"/>
              </w:tcPr>
              <w:p w14:paraId="207CC8CB">
                <w:pPr>
                  <w:spacing w:line="288" w:lineRule="auto"/>
                  <w:jc w:val="center"/>
                  <w:rPr>
                    <w:rFonts w:ascii="Times New Roman" w:hAnsi="Times New Roman" w:cs="Times New Roman" w:eastAsiaTheme="majorEastAsia"/>
                    <w:bCs/>
                    <w:szCs w:val="21"/>
                    <w:lang w:val="zh-C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4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</w:p>
            </w:tc>
          </w:sdtContent>
        </w:sdt>
      </w:tr>
      <w:tr w14:paraId="13AE57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834" w:type="dxa"/>
            <w:vMerge w:val="continue"/>
            <w:vAlign w:val="center"/>
          </w:tcPr>
          <w:p w14:paraId="1452CE4D">
            <w:pPr>
              <w:jc w:val="center"/>
              <w:rPr>
                <w:rFonts w:ascii="Times New Roman" w:hAnsi="Times New Roman" w:cs="Times New Roman" w:eastAsiaTheme="majorEastAsia"/>
                <w:szCs w:val="21"/>
              </w:rPr>
            </w:pPr>
          </w:p>
        </w:tc>
        <w:tc>
          <w:tcPr>
            <w:tcW w:w="4252" w:type="dxa"/>
            <w:vAlign w:val="center"/>
          </w:tcPr>
          <w:p w14:paraId="0005CFC6">
            <w:pPr>
              <w:rPr>
                <w:rFonts w:ascii="Times New Roman" w:hAnsi="Times New Roman" w:cs="Times New Roman" w:eastAsiaTheme="majorEastAsia"/>
                <w:szCs w:val="21"/>
                <w:lang w:val="zh-CN"/>
              </w:rPr>
            </w:pPr>
            <w:r>
              <w:rPr>
                <w:rFonts w:ascii="Times New Roman" w:hAnsi="Times New Roman" w:cs="Times New Roman"/>
              </w:rPr>
              <w:t>Q345及以上高强钢材用量占钢材总量的比例达到70%</w:t>
            </w:r>
          </w:p>
        </w:tc>
        <w:tc>
          <w:tcPr>
            <w:tcW w:w="1545" w:type="dxa"/>
          </w:tcPr>
          <w:p w14:paraId="29E0DD7F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/>
                <w:bCs/>
                <w:lang w:val="zh-CN"/>
              </w:rPr>
              <w:t>4</w:t>
            </w:r>
          </w:p>
        </w:tc>
        <w:tc>
          <w:tcPr>
            <w:tcW w:w="1328" w:type="dxa"/>
            <w:vMerge w:val="continue"/>
            <w:vAlign w:val="center"/>
          </w:tcPr>
          <w:p w14:paraId="7960649F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</w:p>
        </w:tc>
      </w:tr>
      <w:tr w14:paraId="70C69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834" w:type="dxa"/>
            <w:vAlign w:val="center"/>
          </w:tcPr>
          <w:p w14:paraId="220D520A">
            <w:pPr>
              <w:jc w:val="center"/>
              <w:rPr>
                <w:rFonts w:ascii="Times New Roman" w:hAnsi="Times New Roman" w:cs="Times New Roman" w:eastAsiaTheme="majorEastAsia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2</w:t>
            </w:r>
          </w:p>
        </w:tc>
        <w:tc>
          <w:tcPr>
            <w:tcW w:w="4252" w:type="dxa"/>
            <w:vAlign w:val="center"/>
          </w:tcPr>
          <w:p w14:paraId="2143D634">
            <w:pPr>
              <w:rPr>
                <w:rFonts w:ascii="Times New Roman" w:hAnsi="Times New Roman" w:cs="Times New Roman" w:eastAsiaTheme="majorEastAsia"/>
                <w:szCs w:val="21"/>
              </w:rPr>
            </w:pPr>
            <w:r>
              <w:rPr>
                <w:rFonts w:ascii="Times New Roman" w:hAnsi="Times New Roman" w:cs="Times New Roman"/>
                <w:lang w:val="zh-CN"/>
              </w:rPr>
              <w:t>螺栓连接等非现场焊接节点占现场全部连接、拼接节点的数量比例达到50%</w:t>
            </w:r>
          </w:p>
        </w:tc>
        <w:tc>
          <w:tcPr>
            <w:tcW w:w="1545" w:type="dxa"/>
          </w:tcPr>
          <w:p w14:paraId="55148CF8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/>
                <w:bCs/>
                <w:lang w:val="zh-CN"/>
              </w:rPr>
              <w:t>4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665715873"/>
            <w:placeholder>
              <w:docPart w:val="56F08561968A4DCF83C085237B10AD89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328" w:type="dxa"/>
                <w:vAlign w:val="center"/>
              </w:tcPr>
              <w:p w14:paraId="64962869">
                <w:pPr>
                  <w:spacing w:line="288" w:lineRule="auto"/>
                  <w:jc w:val="center"/>
                  <w:rPr>
                    <w:rFonts w:ascii="Times New Roman" w:hAnsi="Times New Roman" w:cs="Times New Roman" w:eastAsiaTheme="majorEastAsia"/>
                    <w:bCs/>
                    <w:szCs w:val="21"/>
                    <w:lang w:val="zh-C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6AC944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834" w:type="dxa"/>
            <w:vAlign w:val="center"/>
          </w:tcPr>
          <w:p w14:paraId="08E416B8">
            <w:pPr>
              <w:jc w:val="center"/>
              <w:rPr>
                <w:rFonts w:ascii="Times New Roman" w:hAnsi="Times New Roman" w:cs="Times New Roman" w:eastAsiaTheme="majorEastAsia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3</w:t>
            </w:r>
          </w:p>
        </w:tc>
        <w:tc>
          <w:tcPr>
            <w:tcW w:w="4252" w:type="dxa"/>
            <w:vAlign w:val="center"/>
          </w:tcPr>
          <w:p w14:paraId="097101AC">
            <w:pPr>
              <w:rPr>
                <w:rFonts w:ascii="Times New Roman" w:hAnsi="Times New Roman" w:cs="Times New Roman" w:eastAsiaTheme="majorEastAsia"/>
                <w:szCs w:val="21"/>
              </w:rPr>
            </w:pPr>
            <w:r>
              <w:rPr>
                <w:rFonts w:ascii="Times New Roman" w:hAnsi="Times New Roman" w:cs="Times New Roman"/>
                <w:bCs/>
                <w:lang w:val="zh-CN"/>
              </w:rPr>
              <w:t>采用施工时免支撑的楼层面板</w:t>
            </w:r>
          </w:p>
        </w:tc>
        <w:tc>
          <w:tcPr>
            <w:tcW w:w="1545" w:type="dxa"/>
          </w:tcPr>
          <w:p w14:paraId="5CAA1F63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/>
                <w:bCs/>
                <w:lang w:val="zh-CN"/>
              </w:rPr>
              <w:t>2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531870925"/>
            <w:placeholder>
              <w:docPart w:val="E43A6334CB554C1785933552FAEFBB37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328" w:type="dxa"/>
                <w:vAlign w:val="center"/>
              </w:tcPr>
              <w:p w14:paraId="0EE2D0FE">
                <w:pPr>
                  <w:spacing w:line="288" w:lineRule="auto"/>
                  <w:jc w:val="center"/>
                  <w:rPr>
                    <w:rFonts w:ascii="Times New Roman" w:hAnsi="Times New Roman" w:cs="Times New Roman" w:eastAsiaTheme="majorEastAsia"/>
                    <w:bCs/>
                    <w:szCs w:val="21"/>
                    <w:lang w:val="zh-C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3DD342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086" w:type="dxa"/>
            <w:gridSpan w:val="2"/>
          </w:tcPr>
          <w:p w14:paraId="4361AD4B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  <w:t>合计</w:t>
            </w:r>
          </w:p>
        </w:tc>
        <w:tc>
          <w:tcPr>
            <w:tcW w:w="1545" w:type="dxa"/>
            <w:vAlign w:val="center"/>
          </w:tcPr>
          <w:p w14:paraId="20EA3188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  <w:t>10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2120296037"/>
            <w:placeholder>
              <w:docPart w:val="3F537E20723E46A19A935D6DD2735F34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328" w:type="dxa"/>
                <w:vAlign w:val="center"/>
              </w:tcPr>
              <w:p w14:paraId="1252AA73">
                <w:pPr>
                  <w:spacing w:line="288" w:lineRule="auto"/>
                  <w:jc w:val="center"/>
                  <w:rPr>
                    <w:rFonts w:ascii="Times New Roman" w:hAnsi="Times New Roman" w:cs="Times New Roman" w:eastAsiaTheme="majorEastAsia"/>
                    <w:bCs/>
                    <w:szCs w:val="21"/>
                    <w:lang w:val="zh-C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4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</w:tbl>
    <w:p w14:paraId="68FE4991">
      <w:pPr>
        <w:pStyle w:val="14"/>
        <w:numPr>
          <w:ilvl w:val="0"/>
          <w:numId w:val="2"/>
        </w:numPr>
        <w:spacing w:line="288" w:lineRule="auto"/>
        <w:ind w:firstLineChars="0"/>
        <w:rPr>
          <w:b/>
        </w:rPr>
      </w:pPr>
      <w:r>
        <w:rPr>
          <w:rFonts w:hint="eastAsia" w:ascii="宋体" w:hAnsi="宋体"/>
          <w:b/>
          <w:bCs/>
          <w:lang w:val="zh-CN"/>
        </w:rPr>
        <w:t>混合</w:t>
      </w:r>
      <w:r>
        <w:rPr>
          <w:rFonts w:ascii="宋体" w:hAnsi="宋体"/>
          <w:b/>
          <w:bCs/>
          <w:lang w:val="zh-CN"/>
        </w:rPr>
        <w:t>结构</w:t>
      </w:r>
    </w:p>
    <w:tbl>
      <w:tblPr>
        <w:tblStyle w:val="7"/>
        <w:tblW w:w="79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"/>
        <w:gridCol w:w="4252"/>
        <w:gridCol w:w="1545"/>
        <w:gridCol w:w="1328"/>
      </w:tblGrid>
      <w:tr w14:paraId="477BC5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834" w:type="dxa"/>
          </w:tcPr>
          <w:p w14:paraId="100ABADD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序号</w:t>
            </w:r>
          </w:p>
        </w:tc>
        <w:tc>
          <w:tcPr>
            <w:tcW w:w="4252" w:type="dxa"/>
          </w:tcPr>
          <w:p w14:paraId="0A67B9CE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评价内容</w:t>
            </w:r>
          </w:p>
        </w:tc>
        <w:tc>
          <w:tcPr>
            <w:tcW w:w="1545" w:type="dxa"/>
          </w:tcPr>
          <w:p w14:paraId="537D97E4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评价分值</w:t>
            </w:r>
          </w:p>
        </w:tc>
        <w:tc>
          <w:tcPr>
            <w:tcW w:w="1328" w:type="dxa"/>
          </w:tcPr>
          <w:p w14:paraId="363BD99D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自评得分</w:t>
            </w:r>
          </w:p>
        </w:tc>
      </w:tr>
      <w:tr w14:paraId="78DF1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834" w:type="dxa"/>
            <w:vAlign w:val="center"/>
          </w:tcPr>
          <w:p w14:paraId="511D8B3B">
            <w:pPr>
              <w:jc w:val="center"/>
              <w:rPr>
                <w:rFonts w:ascii="Times New Roman" w:hAnsi="Times New Roman" w:cs="Times New Roman" w:eastAsiaTheme="majorEastAsia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1</w:t>
            </w:r>
          </w:p>
        </w:tc>
        <w:tc>
          <w:tcPr>
            <w:tcW w:w="4252" w:type="dxa"/>
            <w:vAlign w:val="center"/>
          </w:tcPr>
          <w:p w14:paraId="37707547">
            <w:pPr>
              <w:rPr>
                <w:rFonts w:ascii="Times New Roman" w:hAnsi="Times New Roman" w:cs="Times New Roman" w:eastAsiaTheme="majorEastAsia"/>
                <w:szCs w:val="21"/>
              </w:rPr>
            </w:pPr>
            <w:r>
              <w:rPr>
                <w:rFonts w:ascii="Times New Roman" w:hAnsi="Times New Roman" w:cs="Times New Roman"/>
                <w:bCs/>
                <w:lang w:val="zh-CN"/>
              </w:rPr>
              <w:t>混凝土结构部分</w:t>
            </w:r>
          </w:p>
        </w:tc>
        <w:tc>
          <w:tcPr>
            <w:tcW w:w="1545" w:type="dxa"/>
          </w:tcPr>
          <w:p w14:paraId="714189B4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/>
                <w:bCs/>
                <w:lang w:val="zh-CN"/>
              </w:rPr>
              <w:t>10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1384701154"/>
            <w:placeholder>
              <w:docPart w:val="EEE3CA1DC25149AA94526C709C74D1E7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328" w:type="dxa"/>
              </w:tcPr>
              <w:p w14:paraId="26C2ACF7">
                <w:pPr>
                  <w:spacing w:line="288" w:lineRule="auto"/>
                  <w:jc w:val="center"/>
                  <w:rPr>
                    <w:rFonts w:ascii="Times New Roman" w:hAnsi="Times New Roman" w:cs="Times New Roman" w:eastAsiaTheme="majorEastAsia"/>
                    <w:bCs/>
                    <w:szCs w:val="21"/>
                    <w:lang w:val="zh-C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4</w:t>
                </w:r>
              </w:p>
            </w:tc>
          </w:sdtContent>
        </w:sdt>
      </w:tr>
      <w:tr w14:paraId="3C992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834" w:type="dxa"/>
            <w:vAlign w:val="center"/>
          </w:tcPr>
          <w:p w14:paraId="74F67E75">
            <w:pPr>
              <w:jc w:val="center"/>
              <w:rPr>
                <w:rFonts w:ascii="Times New Roman" w:hAnsi="Times New Roman" w:cs="Times New Roman" w:eastAsiaTheme="majorEastAsia"/>
                <w:szCs w:val="21"/>
              </w:rPr>
            </w:pPr>
            <w:r>
              <w:rPr>
                <w:rFonts w:ascii="Times New Roman" w:hAnsi="Times New Roman" w:cs="Times New Roman" w:eastAsiaTheme="majorEastAsia"/>
                <w:szCs w:val="21"/>
              </w:rPr>
              <w:t>2</w:t>
            </w:r>
          </w:p>
        </w:tc>
        <w:tc>
          <w:tcPr>
            <w:tcW w:w="4252" w:type="dxa"/>
            <w:vAlign w:val="center"/>
          </w:tcPr>
          <w:p w14:paraId="27886759">
            <w:pPr>
              <w:rPr>
                <w:rFonts w:ascii="Times New Roman" w:hAnsi="Times New Roman" w:cs="Times New Roman" w:eastAsiaTheme="majorEastAsia"/>
                <w:szCs w:val="21"/>
                <w:lang w:val="zh-CN"/>
              </w:rPr>
            </w:pPr>
            <w:r>
              <w:rPr>
                <w:rFonts w:ascii="Times New Roman" w:hAnsi="Times New Roman" w:cs="Times New Roman"/>
                <w:bCs/>
                <w:lang w:val="zh-CN"/>
              </w:rPr>
              <w:t>钢结构部分</w:t>
            </w:r>
          </w:p>
        </w:tc>
        <w:tc>
          <w:tcPr>
            <w:tcW w:w="1545" w:type="dxa"/>
          </w:tcPr>
          <w:p w14:paraId="705F51E6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/>
                <w:bCs/>
                <w:lang w:val="zh-CN"/>
              </w:rPr>
              <w:t>10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139694852"/>
            <w:placeholder>
              <w:docPart w:val="9C44029D13C84295854D5B61285659EC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328" w:type="dxa"/>
              </w:tcPr>
              <w:p w14:paraId="76CC0428">
                <w:pPr>
                  <w:spacing w:line="288" w:lineRule="auto"/>
                  <w:jc w:val="center"/>
                  <w:rPr>
                    <w:rFonts w:ascii="Times New Roman" w:hAnsi="Times New Roman" w:cs="Times New Roman" w:eastAsiaTheme="majorEastAsia"/>
                    <w:bCs/>
                    <w:szCs w:val="21"/>
                    <w:lang w:val="zh-C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4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</w:p>
            </w:tc>
          </w:sdtContent>
        </w:sdt>
      </w:tr>
      <w:tr w14:paraId="4832F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086" w:type="dxa"/>
            <w:gridSpan w:val="2"/>
          </w:tcPr>
          <w:p w14:paraId="08D2ABA6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/>
                <w:bCs/>
                <w:lang w:val="zh-CN"/>
              </w:rPr>
              <w:t>合计（取平均值）</w:t>
            </w:r>
          </w:p>
        </w:tc>
        <w:tc>
          <w:tcPr>
            <w:tcW w:w="1545" w:type="dxa"/>
            <w:vAlign w:val="center"/>
          </w:tcPr>
          <w:p w14:paraId="29BB5A58">
            <w:pPr>
              <w:spacing w:line="288" w:lineRule="auto"/>
              <w:jc w:val="center"/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bCs/>
                <w:szCs w:val="21"/>
                <w:lang w:val="zh-CN"/>
              </w:rPr>
              <w:t>10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1908644754"/>
            <w:placeholder>
              <w:docPart w:val="63F46ED8A8FE42DD906284B871363B33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328" w:type="dxa"/>
                <w:vAlign w:val="center"/>
              </w:tcPr>
              <w:p w14:paraId="4B9E492F">
                <w:pPr>
                  <w:spacing w:line="288" w:lineRule="auto"/>
                  <w:jc w:val="center"/>
                  <w:rPr>
                    <w:rFonts w:ascii="Times New Roman" w:hAnsi="Times New Roman" w:cs="Times New Roman" w:eastAsiaTheme="majorEastAsia"/>
                    <w:bCs/>
                    <w:szCs w:val="21"/>
                    <w:lang w:val="zh-C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8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</w:p>
            </w:tc>
          </w:sdtContent>
        </w:sdt>
      </w:tr>
    </w:tbl>
    <w:p w14:paraId="43873419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p w14:paraId="3956CC3B">
      <w:pPr>
        <w:rPr>
          <w:rFonts w:ascii="Times New Roman" w:hAnsi="Times New Roman" w:eastAsia="宋体" w:cs="Times New Roman"/>
          <w:szCs w:val="21"/>
        </w:rPr>
      </w:pPr>
      <w:r>
        <w:rPr>
          <w:rFonts w:hint="eastAsia"/>
        </w:rPr>
        <w:t>请简要说明建筑结构材料与构件的选用情况。</w:t>
      </w:r>
    </w:p>
    <w:tbl>
      <w:tblPr>
        <w:tblStyle w:val="13"/>
        <w:tblW w:w="10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54"/>
      </w:tblGrid>
      <w:tr w14:paraId="7EC57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10054" w:type="dxa"/>
          </w:tcPr>
          <w:tbl>
            <w:tblPr>
              <w:tblStyle w:val="6"/>
              <w:tblW w:w="9837" w:type="dxa"/>
              <w:tblInd w:w="0" w:type="dxa"/>
              <w:tblBorders>
                <w:top w:val="single" w:color="000000" w:sz="12" w:space="0"/>
                <w:left w:val="single" w:color="000000" w:sz="12" w:space="0"/>
                <w:bottom w:val="single" w:color="000000" w:sz="12" w:space="0"/>
                <w:right w:val="single" w:color="000000" w:sz="12" w:space="0"/>
                <w:insideH w:val="single" w:color="000000" w:sz="8" w:space="0"/>
                <w:insideV w:val="single" w:color="000000" w:sz="8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63"/>
              <w:gridCol w:w="1047"/>
              <w:gridCol w:w="1094"/>
              <w:gridCol w:w="802"/>
              <w:gridCol w:w="984"/>
              <w:gridCol w:w="1215"/>
              <w:gridCol w:w="2532"/>
            </w:tblGrid>
            <w:tr w14:paraId="6B44B28A">
              <w:tblPrEx>
                <w:tblBorders>
                  <w:top w:val="single" w:color="000000" w:sz="12" w:space="0"/>
                  <w:left w:val="single" w:color="000000" w:sz="12" w:space="0"/>
                  <w:bottom w:val="single" w:color="000000" w:sz="12" w:space="0"/>
                  <w:right w:val="single" w:color="000000" w:sz="12" w:space="0"/>
                  <w:insideH w:val="single" w:color="000000" w:sz="8" w:space="0"/>
                  <w:insideV w:val="single" w:color="000000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63" w:type="dxa"/>
                  <w:vMerge w:val="restart"/>
                  <w:shd w:val="clear" w:color="auto" w:fill="E6E6E6"/>
                  <w:vAlign w:val="center"/>
                </w:tcPr>
                <w:p w14:paraId="7D0DC371">
                  <w:pPr>
                    <w:jc w:val="center"/>
                  </w:pPr>
                  <w:r>
                    <w:t>材料名称</w:t>
                  </w:r>
                </w:p>
              </w:tc>
              <w:tc>
                <w:tcPr>
                  <w:tcW w:w="1047" w:type="dxa"/>
                  <w:shd w:val="clear" w:color="auto" w:fill="E6E6E6"/>
                  <w:vAlign w:val="center"/>
                </w:tcPr>
                <w:p w14:paraId="2D92679C">
                  <w:pPr>
                    <w:jc w:val="center"/>
                  </w:pPr>
                  <w:r>
                    <w:t>导热系数λ</w:t>
                  </w:r>
                </w:p>
              </w:tc>
              <w:tc>
                <w:tcPr>
                  <w:tcW w:w="1094" w:type="dxa"/>
                  <w:shd w:val="clear" w:color="auto" w:fill="E6E6E6"/>
                  <w:vAlign w:val="center"/>
                </w:tcPr>
                <w:p w14:paraId="4DF54109">
                  <w:pPr>
                    <w:jc w:val="center"/>
                  </w:pPr>
                  <w:r>
                    <w:t>蓄热系数S</w:t>
                  </w:r>
                </w:p>
              </w:tc>
              <w:tc>
                <w:tcPr>
                  <w:tcW w:w="802" w:type="dxa"/>
                  <w:shd w:val="clear" w:color="auto" w:fill="E6E6E6"/>
                  <w:vAlign w:val="center"/>
                </w:tcPr>
                <w:p w14:paraId="0B7D9353">
                  <w:pPr>
                    <w:jc w:val="center"/>
                  </w:pPr>
                  <w:r>
                    <w:t>密度ρ</w:t>
                  </w:r>
                </w:p>
              </w:tc>
              <w:tc>
                <w:tcPr>
                  <w:tcW w:w="984" w:type="dxa"/>
                  <w:shd w:val="clear" w:color="auto" w:fill="E6E6E6"/>
                  <w:vAlign w:val="center"/>
                </w:tcPr>
                <w:p w14:paraId="228EC25F">
                  <w:pPr>
                    <w:jc w:val="center"/>
                  </w:pPr>
                  <w:r>
                    <w:t>比热容Cp</w:t>
                  </w:r>
                </w:p>
              </w:tc>
              <w:tc>
                <w:tcPr>
                  <w:tcW w:w="1215" w:type="dxa"/>
                  <w:shd w:val="clear" w:color="auto" w:fill="E6E6E6"/>
                  <w:vAlign w:val="center"/>
                </w:tcPr>
                <w:p w14:paraId="44211ED8">
                  <w:pPr>
                    <w:jc w:val="center"/>
                  </w:pPr>
                  <w:r>
                    <w:t>蒸汽渗透</w:t>
                  </w:r>
                  <w:r>
                    <w:br w:type="textWrapping"/>
                  </w:r>
                  <w:r>
                    <w:t>系数u</w:t>
                  </w:r>
                </w:p>
              </w:tc>
              <w:tc>
                <w:tcPr>
                  <w:tcW w:w="2532" w:type="dxa"/>
                  <w:vMerge w:val="restart"/>
                  <w:shd w:val="clear" w:color="auto" w:fill="E6E6E6"/>
                  <w:vAlign w:val="center"/>
                </w:tcPr>
                <w:p w14:paraId="3F30D4C8">
                  <w:pPr>
                    <w:jc w:val="center"/>
                  </w:pPr>
                  <w:r>
                    <w:t>数据来源</w:t>
                  </w:r>
                </w:p>
              </w:tc>
            </w:tr>
            <w:tr w14:paraId="3875F992">
              <w:tblPrEx>
                <w:tblBorders>
                  <w:top w:val="single" w:color="000000" w:sz="12" w:space="0"/>
                  <w:left w:val="single" w:color="000000" w:sz="12" w:space="0"/>
                  <w:bottom w:val="single" w:color="000000" w:sz="12" w:space="0"/>
                  <w:right w:val="single" w:color="000000" w:sz="12" w:space="0"/>
                  <w:insideH w:val="single" w:color="000000" w:sz="8" w:space="0"/>
                  <w:insideV w:val="single" w:color="000000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63" w:type="dxa"/>
                  <w:vMerge w:val="continue"/>
                  <w:shd w:val="clear" w:color="auto" w:fill="E6E6E6"/>
                  <w:vAlign w:val="center"/>
                </w:tcPr>
                <w:p w14:paraId="1931D499">
                  <w:pPr>
                    <w:jc w:val="center"/>
                  </w:pPr>
                </w:p>
              </w:tc>
              <w:tc>
                <w:tcPr>
                  <w:tcW w:w="1047" w:type="dxa"/>
                  <w:shd w:val="clear" w:color="auto" w:fill="E6E6E6"/>
                  <w:vAlign w:val="center"/>
                </w:tcPr>
                <w:p w14:paraId="712E5964">
                  <w:pPr>
                    <w:jc w:val="center"/>
                  </w:pPr>
                  <w:r>
                    <w:t>W/(m.K)</w:t>
                  </w:r>
                </w:p>
              </w:tc>
              <w:tc>
                <w:tcPr>
                  <w:tcW w:w="1094" w:type="dxa"/>
                  <w:shd w:val="clear" w:color="auto" w:fill="E6E6E6"/>
                  <w:vAlign w:val="center"/>
                </w:tcPr>
                <w:p w14:paraId="2EB8BCB9">
                  <w:pPr>
                    <w:jc w:val="center"/>
                  </w:pPr>
                  <w:r>
                    <w:t>W/(㎡.K)</w:t>
                  </w:r>
                </w:p>
              </w:tc>
              <w:tc>
                <w:tcPr>
                  <w:tcW w:w="802" w:type="dxa"/>
                  <w:shd w:val="clear" w:color="auto" w:fill="E6E6E6"/>
                  <w:vAlign w:val="center"/>
                </w:tcPr>
                <w:p w14:paraId="2745F45F">
                  <w:pPr>
                    <w:jc w:val="center"/>
                  </w:pPr>
                  <w:r>
                    <w:t>kg/m</w:t>
                  </w:r>
                  <w:r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984" w:type="dxa"/>
                  <w:shd w:val="clear" w:color="auto" w:fill="E6E6E6"/>
                  <w:vAlign w:val="center"/>
                </w:tcPr>
                <w:p w14:paraId="255F4B25">
                  <w:pPr>
                    <w:jc w:val="center"/>
                  </w:pPr>
                  <w:r>
                    <w:t>J/(kg.K)</w:t>
                  </w:r>
                </w:p>
              </w:tc>
              <w:tc>
                <w:tcPr>
                  <w:tcW w:w="1215" w:type="dxa"/>
                  <w:shd w:val="clear" w:color="auto" w:fill="E6E6E6"/>
                  <w:vAlign w:val="center"/>
                </w:tcPr>
                <w:p w14:paraId="030821E3">
                  <w:pPr>
                    <w:jc w:val="center"/>
                  </w:pPr>
                  <w:r>
                    <w:t>g/(m.h.kPa)</w:t>
                  </w:r>
                </w:p>
              </w:tc>
              <w:tc>
                <w:tcPr>
                  <w:tcW w:w="2532" w:type="dxa"/>
                  <w:vMerge w:val="continue"/>
                  <w:shd w:val="clear" w:color="auto" w:fill="E6E6E6"/>
                  <w:vAlign w:val="center"/>
                </w:tcPr>
                <w:p w14:paraId="5F7A11B6">
                  <w:pPr>
                    <w:jc w:val="center"/>
                  </w:pPr>
                </w:p>
              </w:tc>
            </w:tr>
            <w:tr w14:paraId="544D760B">
              <w:tblPrEx>
                <w:tblBorders>
                  <w:top w:val="single" w:color="000000" w:sz="12" w:space="0"/>
                  <w:left w:val="single" w:color="000000" w:sz="12" w:space="0"/>
                  <w:bottom w:val="single" w:color="000000" w:sz="12" w:space="0"/>
                  <w:right w:val="single" w:color="000000" w:sz="12" w:space="0"/>
                  <w:insideH w:val="single" w:color="000000" w:sz="8" w:space="0"/>
                  <w:insideV w:val="single" w:color="000000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63" w:type="dxa"/>
                  <w:shd w:val="clear" w:color="auto" w:fill="E6E6E6"/>
                  <w:vAlign w:val="center"/>
                </w:tcPr>
                <w:p w14:paraId="218D743A">
                  <w:r>
                    <w:t>水泥砂浆</w:t>
                  </w:r>
                </w:p>
              </w:tc>
              <w:tc>
                <w:tcPr>
                  <w:tcW w:w="1047" w:type="dxa"/>
                  <w:vAlign w:val="center"/>
                </w:tcPr>
                <w:p w14:paraId="1938D7AB">
                  <w:r>
                    <w:t>0.930</w:t>
                  </w:r>
                </w:p>
              </w:tc>
              <w:tc>
                <w:tcPr>
                  <w:tcW w:w="1094" w:type="dxa"/>
                  <w:vAlign w:val="center"/>
                </w:tcPr>
                <w:p w14:paraId="6442CA71">
                  <w:r>
                    <w:t>11.370</w:t>
                  </w:r>
                </w:p>
              </w:tc>
              <w:tc>
                <w:tcPr>
                  <w:tcW w:w="802" w:type="dxa"/>
                  <w:vAlign w:val="center"/>
                </w:tcPr>
                <w:p w14:paraId="3AE001DC">
                  <w:r>
                    <w:t>1800.0</w:t>
                  </w:r>
                </w:p>
              </w:tc>
              <w:tc>
                <w:tcPr>
                  <w:tcW w:w="984" w:type="dxa"/>
                  <w:vAlign w:val="center"/>
                </w:tcPr>
                <w:p w14:paraId="44EE5D62">
                  <w:r>
                    <w:t>1050.0</w:t>
                  </w:r>
                </w:p>
              </w:tc>
              <w:tc>
                <w:tcPr>
                  <w:tcW w:w="1215" w:type="dxa"/>
                  <w:vAlign w:val="center"/>
                </w:tcPr>
                <w:p w14:paraId="7D781C0C">
                  <w:r>
                    <w:t>0.0210</w:t>
                  </w:r>
                </w:p>
              </w:tc>
              <w:tc>
                <w:tcPr>
                  <w:tcW w:w="2532" w:type="dxa"/>
                  <w:vAlign w:val="center"/>
                </w:tcPr>
                <w:p w14:paraId="11EAE044">
                  <w:r>
                    <w:rPr>
                      <w:sz w:val="18"/>
                      <w:szCs w:val="18"/>
                    </w:rPr>
                    <w:t>民用建筑热工设计规范 GB50176-2016</w:t>
                  </w:r>
                </w:p>
              </w:tc>
            </w:tr>
            <w:tr w14:paraId="5FDE76C5">
              <w:tblPrEx>
                <w:tblBorders>
                  <w:top w:val="single" w:color="000000" w:sz="12" w:space="0"/>
                  <w:left w:val="single" w:color="000000" w:sz="12" w:space="0"/>
                  <w:bottom w:val="single" w:color="000000" w:sz="12" w:space="0"/>
                  <w:right w:val="single" w:color="000000" w:sz="12" w:space="0"/>
                  <w:insideH w:val="single" w:color="000000" w:sz="8" w:space="0"/>
                  <w:insideV w:val="single" w:color="000000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63" w:type="dxa"/>
                  <w:shd w:val="clear" w:color="auto" w:fill="E6E6E6"/>
                  <w:vAlign w:val="center"/>
                </w:tcPr>
                <w:p w14:paraId="2DDE2E44">
                  <w:r>
                    <w:t>混合砂浆</w:t>
                  </w:r>
                </w:p>
              </w:tc>
              <w:tc>
                <w:tcPr>
                  <w:tcW w:w="1047" w:type="dxa"/>
                  <w:vAlign w:val="center"/>
                </w:tcPr>
                <w:p w14:paraId="03D0F66C">
                  <w:r>
                    <w:t>0.870</w:t>
                  </w:r>
                </w:p>
              </w:tc>
              <w:tc>
                <w:tcPr>
                  <w:tcW w:w="1094" w:type="dxa"/>
                  <w:vAlign w:val="center"/>
                </w:tcPr>
                <w:p w14:paraId="48066EA3">
                  <w:r>
                    <w:t>10.750</w:t>
                  </w:r>
                </w:p>
              </w:tc>
              <w:tc>
                <w:tcPr>
                  <w:tcW w:w="802" w:type="dxa"/>
                  <w:vAlign w:val="center"/>
                </w:tcPr>
                <w:p w14:paraId="73F81D9E">
                  <w:r>
                    <w:t>1700.0</w:t>
                  </w:r>
                </w:p>
              </w:tc>
              <w:tc>
                <w:tcPr>
                  <w:tcW w:w="984" w:type="dxa"/>
                  <w:vAlign w:val="center"/>
                </w:tcPr>
                <w:p w14:paraId="5F9B8DA4">
                  <w:r>
                    <w:t>1074.4</w:t>
                  </w:r>
                </w:p>
              </w:tc>
              <w:tc>
                <w:tcPr>
                  <w:tcW w:w="1215" w:type="dxa"/>
                  <w:vAlign w:val="center"/>
                </w:tcPr>
                <w:p w14:paraId="714FED33">
                  <w:r>
                    <w:t>0.0975</w:t>
                  </w:r>
                </w:p>
              </w:tc>
              <w:tc>
                <w:tcPr>
                  <w:tcW w:w="2532" w:type="dxa"/>
                  <w:vAlign w:val="center"/>
                </w:tcPr>
                <w:p w14:paraId="41F8C10D">
                  <w:r>
                    <w:rPr>
                      <w:sz w:val="18"/>
                      <w:szCs w:val="18"/>
                    </w:rPr>
                    <w:t>民用建筑热工设计规范 GB50176-2016</w:t>
                  </w:r>
                </w:p>
              </w:tc>
            </w:tr>
            <w:tr w14:paraId="3A9F3D9F">
              <w:tblPrEx>
                <w:tblBorders>
                  <w:top w:val="single" w:color="000000" w:sz="12" w:space="0"/>
                  <w:left w:val="single" w:color="000000" w:sz="12" w:space="0"/>
                  <w:bottom w:val="single" w:color="000000" w:sz="12" w:space="0"/>
                  <w:right w:val="single" w:color="000000" w:sz="12" w:space="0"/>
                  <w:insideH w:val="single" w:color="000000" w:sz="8" w:space="0"/>
                  <w:insideV w:val="single" w:color="000000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63" w:type="dxa"/>
                  <w:shd w:val="clear" w:color="auto" w:fill="E6E6E6"/>
                  <w:vAlign w:val="center"/>
                </w:tcPr>
                <w:p w14:paraId="478EAF93">
                  <w:r>
                    <w:t>钢筋混凝土</w:t>
                  </w:r>
                </w:p>
              </w:tc>
              <w:tc>
                <w:tcPr>
                  <w:tcW w:w="1047" w:type="dxa"/>
                  <w:vAlign w:val="center"/>
                </w:tcPr>
                <w:p w14:paraId="34A7EF2F">
                  <w:r>
                    <w:t>1.740</w:t>
                  </w:r>
                </w:p>
              </w:tc>
              <w:tc>
                <w:tcPr>
                  <w:tcW w:w="1094" w:type="dxa"/>
                  <w:vAlign w:val="center"/>
                </w:tcPr>
                <w:p w14:paraId="42EAB500">
                  <w:r>
                    <w:t>17.200</w:t>
                  </w:r>
                </w:p>
              </w:tc>
              <w:tc>
                <w:tcPr>
                  <w:tcW w:w="802" w:type="dxa"/>
                  <w:vAlign w:val="center"/>
                </w:tcPr>
                <w:p w14:paraId="69ED4697">
                  <w:r>
                    <w:t>2500.0</w:t>
                  </w:r>
                </w:p>
              </w:tc>
              <w:tc>
                <w:tcPr>
                  <w:tcW w:w="984" w:type="dxa"/>
                  <w:vAlign w:val="center"/>
                </w:tcPr>
                <w:p w14:paraId="4882098C">
                  <w:r>
                    <w:t>920.0</w:t>
                  </w:r>
                </w:p>
              </w:tc>
              <w:tc>
                <w:tcPr>
                  <w:tcW w:w="1215" w:type="dxa"/>
                  <w:vAlign w:val="center"/>
                </w:tcPr>
                <w:p w14:paraId="3483A5F0">
                  <w:r>
                    <w:t>0.0158</w:t>
                  </w:r>
                </w:p>
              </w:tc>
              <w:tc>
                <w:tcPr>
                  <w:tcW w:w="2532" w:type="dxa"/>
                  <w:vAlign w:val="center"/>
                </w:tcPr>
                <w:p w14:paraId="663A6F62">
                  <w:r>
                    <w:rPr>
                      <w:sz w:val="18"/>
                      <w:szCs w:val="18"/>
                    </w:rPr>
                    <w:t>民用建筑热工设计规范 GB50176-2016</w:t>
                  </w:r>
                </w:p>
              </w:tc>
            </w:tr>
            <w:tr w14:paraId="06FA4B82">
              <w:tblPrEx>
                <w:tblBorders>
                  <w:top w:val="single" w:color="000000" w:sz="12" w:space="0"/>
                  <w:left w:val="single" w:color="000000" w:sz="12" w:space="0"/>
                  <w:bottom w:val="single" w:color="000000" w:sz="12" w:space="0"/>
                  <w:right w:val="single" w:color="000000" w:sz="12" w:space="0"/>
                  <w:insideH w:val="single" w:color="000000" w:sz="8" w:space="0"/>
                  <w:insideV w:val="single" w:color="000000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63" w:type="dxa"/>
                  <w:shd w:val="clear" w:color="auto" w:fill="E6E6E6"/>
                  <w:vAlign w:val="center"/>
                </w:tcPr>
                <w:p w14:paraId="60338DE6">
                  <w:r>
                    <w:t>挤塑聚苯板(ρ=25-32)</w:t>
                  </w:r>
                </w:p>
              </w:tc>
              <w:tc>
                <w:tcPr>
                  <w:tcW w:w="1047" w:type="dxa"/>
                  <w:vAlign w:val="center"/>
                </w:tcPr>
                <w:p w14:paraId="0E4F82A2">
                  <w:r>
                    <w:t>0.030</w:t>
                  </w:r>
                </w:p>
              </w:tc>
              <w:tc>
                <w:tcPr>
                  <w:tcW w:w="1094" w:type="dxa"/>
                  <w:vAlign w:val="center"/>
                </w:tcPr>
                <w:p w14:paraId="685065EC">
                  <w:r>
                    <w:t>0.320</w:t>
                  </w:r>
                </w:p>
              </w:tc>
              <w:tc>
                <w:tcPr>
                  <w:tcW w:w="802" w:type="dxa"/>
                  <w:vAlign w:val="center"/>
                </w:tcPr>
                <w:p w14:paraId="58F338C7">
                  <w:r>
                    <w:t>28.5</w:t>
                  </w:r>
                </w:p>
              </w:tc>
              <w:tc>
                <w:tcPr>
                  <w:tcW w:w="984" w:type="dxa"/>
                  <w:vAlign w:val="center"/>
                </w:tcPr>
                <w:p w14:paraId="5AB3A046">
                  <w:r>
                    <w:t>1647.0</w:t>
                  </w:r>
                </w:p>
              </w:tc>
              <w:tc>
                <w:tcPr>
                  <w:tcW w:w="1215" w:type="dxa"/>
                  <w:vAlign w:val="center"/>
                </w:tcPr>
                <w:p w14:paraId="5915DE3D">
                  <w:r>
                    <w:t>0.0162</w:t>
                  </w:r>
                </w:p>
              </w:tc>
              <w:tc>
                <w:tcPr>
                  <w:tcW w:w="2532" w:type="dxa"/>
                  <w:vAlign w:val="center"/>
                </w:tcPr>
                <w:p w14:paraId="00BA64E6">
                  <w:r>
                    <w:rPr>
                      <w:sz w:val="18"/>
                      <w:szCs w:val="18"/>
                    </w:rPr>
                    <w:t>民用建筑热工设计规范 GB50176-2016</w:t>
                  </w:r>
                </w:p>
              </w:tc>
            </w:tr>
            <w:tr w14:paraId="6C092956">
              <w:tblPrEx>
                <w:tblBorders>
                  <w:top w:val="single" w:color="000000" w:sz="12" w:space="0"/>
                  <w:left w:val="single" w:color="000000" w:sz="12" w:space="0"/>
                  <w:bottom w:val="single" w:color="000000" w:sz="12" w:space="0"/>
                  <w:right w:val="single" w:color="000000" w:sz="12" w:space="0"/>
                  <w:insideH w:val="single" w:color="000000" w:sz="8" w:space="0"/>
                  <w:insideV w:val="single" w:color="000000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63" w:type="dxa"/>
                  <w:shd w:val="clear" w:color="auto" w:fill="E6E6E6"/>
                  <w:vAlign w:val="center"/>
                </w:tcPr>
                <w:p w14:paraId="713E6B29">
                  <w:r>
                    <w:t>加气混凝土、泡沫混凝土(ρ=700)</w:t>
                  </w:r>
                </w:p>
              </w:tc>
              <w:tc>
                <w:tcPr>
                  <w:tcW w:w="1047" w:type="dxa"/>
                  <w:vAlign w:val="center"/>
                </w:tcPr>
                <w:p w14:paraId="6286F7DC">
                  <w:r>
                    <w:t>0.180</w:t>
                  </w:r>
                </w:p>
              </w:tc>
              <w:tc>
                <w:tcPr>
                  <w:tcW w:w="1094" w:type="dxa"/>
                  <w:vAlign w:val="center"/>
                </w:tcPr>
                <w:p w14:paraId="5BBFF132">
                  <w:r>
                    <w:t>3.100</w:t>
                  </w:r>
                </w:p>
              </w:tc>
              <w:tc>
                <w:tcPr>
                  <w:tcW w:w="802" w:type="dxa"/>
                  <w:vAlign w:val="center"/>
                </w:tcPr>
                <w:p w14:paraId="330D4646">
                  <w:r>
                    <w:t>700.0</w:t>
                  </w:r>
                </w:p>
              </w:tc>
              <w:tc>
                <w:tcPr>
                  <w:tcW w:w="984" w:type="dxa"/>
                  <w:vAlign w:val="center"/>
                </w:tcPr>
                <w:p w14:paraId="54D7C1EF">
                  <w:r>
                    <w:t>1050.0</w:t>
                  </w:r>
                </w:p>
              </w:tc>
              <w:tc>
                <w:tcPr>
                  <w:tcW w:w="1215" w:type="dxa"/>
                  <w:vAlign w:val="center"/>
                </w:tcPr>
                <w:p w14:paraId="7E0B6B24">
                  <w:r>
                    <w:t>0.0998</w:t>
                  </w:r>
                </w:p>
              </w:tc>
              <w:tc>
                <w:tcPr>
                  <w:tcW w:w="2532" w:type="dxa"/>
                  <w:vAlign w:val="center"/>
                </w:tcPr>
                <w:p w14:paraId="5A2B38DD">
                  <w:r>
                    <w:rPr>
                      <w:sz w:val="18"/>
                      <w:szCs w:val="18"/>
                    </w:rPr>
                    <w:t>民用建筑热工设计规范 GB50176-2016</w:t>
                  </w:r>
                </w:p>
              </w:tc>
            </w:tr>
            <w:tr w14:paraId="568D8DA2">
              <w:tblPrEx>
                <w:tblBorders>
                  <w:top w:val="single" w:color="000000" w:sz="12" w:space="0"/>
                  <w:left w:val="single" w:color="000000" w:sz="12" w:space="0"/>
                  <w:bottom w:val="single" w:color="000000" w:sz="12" w:space="0"/>
                  <w:right w:val="single" w:color="000000" w:sz="12" w:space="0"/>
                  <w:insideH w:val="single" w:color="000000" w:sz="8" w:space="0"/>
                  <w:insideV w:val="single" w:color="000000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63" w:type="dxa"/>
                  <w:shd w:val="clear" w:color="auto" w:fill="E6E6E6"/>
                  <w:vAlign w:val="center"/>
                </w:tcPr>
                <w:p w14:paraId="0A45014C">
                  <w:r>
                    <w:t>混凝土多孔砖(190八孔砖）</w:t>
                  </w:r>
                </w:p>
              </w:tc>
              <w:tc>
                <w:tcPr>
                  <w:tcW w:w="1047" w:type="dxa"/>
                  <w:vAlign w:val="center"/>
                </w:tcPr>
                <w:p w14:paraId="619DC67C">
                  <w:r>
                    <w:t>0.620</w:t>
                  </w:r>
                </w:p>
              </w:tc>
              <w:tc>
                <w:tcPr>
                  <w:tcW w:w="1094" w:type="dxa"/>
                  <w:vAlign w:val="center"/>
                </w:tcPr>
                <w:p w14:paraId="3DFA0C68">
                  <w:r>
                    <w:t>5.480</w:t>
                  </w:r>
                </w:p>
              </w:tc>
              <w:tc>
                <w:tcPr>
                  <w:tcW w:w="802" w:type="dxa"/>
                  <w:vAlign w:val="center"/>
                </w:tcPr>
                <w:p w14:paraId="681C1E8A">
                  <w:r>
                    <w:t>1450.0</w:t>
                  </w:r>
                </w:p>
              </w:tc>
              <w:tc>
                <w:tcPr>
                  <w:tcW w:w="984" w:type="dxa"/>
                  <w:vAlign w:val="center"/>
                </w:tcPr>
                <w:p w14:paraId="67E1C2F6">
                  <w:r>
                    <w:t>459.3</w:t>
                  </w:r>
                </w:p>
              </w:tc>
              <w:tc>
                <w:tcPr>
                  <w:tcW w:w="1215" w:type="dxa"/>
                  <w:vAlign w:val="center"/>
                </w:tcPr>
                <w:p w14:paraId="65A6A6F4">
                  <w:r>
                    <w:t>0.0000</w:t>
                  </w:r>
                </w:p>
              </w:tc>
              <w:tc>
                <w:tcPr>
                  <w:tcW w:w="2532" w:type="dxa"/>
                  <w:vAlign w:val="center"/>
                </w:tcPr>
                <w:p w14:paraId="79D75608">
                  <w:r>
                    <w:rPr>
                      <w:sz w:val="18"/>
                      <w:szCs w:val="18"/>
                    </w:rPr>
                    <w:t>北京居住建筑节能设计标准 DBJ01-602-2004</w:t>
                  </w:r>
                </w:p>
              </w:tc>
            </w:tr>
            <w:tr w14:paraId="15B2C18D">
              <w:tblPrEx>
                <w:tblBorders>
                  <w:top w:val="single" w:color="000000" w:sz="12" w:space="0"/>
                  <w:left w:val="single" w:color="000000" w:sz="12" w:space="0"/>
                  <w:bottom w:val="single" w:color="000000" w:sz="12" w:space="0"/>
                  <w:right w:val="single" w:color="000000" w:sz="12" w:space="0"/>
                  <w:insideH w:val="single" w:color="000000" w:sz="8" w:space="0"/>
                  <w:insideV w:val="single" w:color="000000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63" w:type="dxa"/>
                  <w:shd w:val="clear" w:color="auto" w:fill="E6E6E6"/>
                  <w:vAlign w:val="center"/>
                </w:tcPr>
                <w:p w14:paraId="10C5A348">
                  <w:r>
                    <w:t>岩棉板(ρ=60-160)</w:t>
                  </w:r>
                </w:p>
              </w:tc>
              <w:tc>
                <w:tcPr>
                  <w:tcW w:w="1047" w:type="dxa"/>
                  <w:vAlign w:val="center"/>
                </w:tcPr>
                <w:p w14:paraId="59D2772F">
                  <w:r>
                    <w:t>0.041</w:t>
                  </w:r>
                </w:p>
              </w:tc>
              <w:tc>
                <w:tcPr>
                  <w:tcW w:w="1094" w:type="dxa"/>
                  <w:vAlign w:val="center"/>
                </w:tcPr>
                <w:p w14:paraId="5647E957">
                  <w:r>
                    <w:t>0.615</w:t>
                  </w:r>
                </w:p>
              </w:tc>
              <w:tc>
                <w:tcPr>
                  <w:tcW w:w="802" w:type="dxa"/>
                  <w:vAlign w:val="center"/>
                </w:tcPr>
                <w:p w14:paraId="661A7727">
                  <w:r>
                    <w:t>110.0</w:t>
                  </w:r>
                </w:p>
              </w:tc>
              <w:tc>
                <w:tcPr>
                  <w:tcW w:w="984" w:type="dxa"/>
                  <w:vAlign w:val="center"/>
                </w:tcPr>
                <w:p w14:paraId="221854C8">
                  <w:r>
                    <w:t>1220.0</w:t>
                  </w:r>
                </w:p>
              </w:tc>
              <w:tc>
                <w:tcPr>
                  <w:tcW w:w="1215" w:type="dxa"/>
                  <w:vAlign w:val="center"/>
                </w:tcPr>
                <w:p w14:paraId="7AF23398">
                  <w:r>
                    <w:t>0.4880</w:t>
                  </w:r>
                </w:p>
              </w:tc>
              <w:tc>
                <w:tcPr>
                  <w:tcW w:w="2532" w:type="dxa"/>
                  <w:vAlign w:val="center"/>
                </w:tcPr>
                <w:p w14:paraId="3D7F1F8E">
                  <w:r>
                    <w:rPr>
                      <w:sz w:val="18"/>
                      <w:szCs w:val="18"/>
                    </w:rPr>
                    <w:t>民用建筑热工设计规范 GB50176-2016</w:t>
                  </w:r>
                </w:p>
              </w:tc>
            </w:tr>
            <w:tr w14:paraId="5238EAC7">
              <w:tblPrEx>
                <w:tblBorders>
                  <w:top w:val="single" w:color="000000" w:sz="12" w:space="0"/>
                  <w:left w:val="single" w:color="000000" w:sz="12" w:space="0"/>
                  <w:bottom w:val="single" w:color="000000" w:sz="12" w:space="0"/>
                  <w:right w:val="single" w:color="000000" w:sz="12" w:space="0"/>
                  <w:insideH w:val="single" w:color="000000" w:sz="8" w:space="0"/>
                  <w:insideV w:val="single" w:color="000000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63" w:type="dxa"/>
                  <w:shd w:val="clear" w:color="auto" w:fill="E6E6E6"/>
                  <w:vAlign w:val="center"/>
                </w:tcPr>
                <w:p w14:paraId="3F5385F5">
                  <w:r>
                    <w:t>c20细石混凝土(ρ=2300)</w:t>
                  </w:r>
                </w:p>
              </w:tc>
              <w:tc>
                <w:tcPr>
                  <w:tcW w:w="1047" w:type="dxa"/>
                  <w:vAlign w:val="center"/>
                </w:tcPr>
                <w:p w14:paraId="3E653519">
                  <w:r>
                    <w:t>1.510</w:t>
                  </w:r>
                </w:p>
              </w:tc>
              <w:tc>
                <w:tcPr>
                  <w:tcW w:w="1094" w:type="dxa"/>
                  <w:vAlign w:val="center"/>
                </w:tcPr>
                <w:p w14:paraId="4B939709">
                  <w:r>
                    <w:t>15.243</w:t>
                  </w:r>
                </w:p>
              </w:tc>
              <w:tc>
                <w:tcPr>
                  <w:tcW w:w="802" w:type="dxa"/>
                  <w:vAlign w:val="center"/>
                </w:tcPr>
                <w:p w14:paraId="4C86707D">
                  <w:r>
                    <w:t>2300.0</w:t>
                  </w:r>
                </w:p>
              </w:tc>
              <w:tc>
                <w:tcPr>
                  <w:tcW w:w="984" w:type="dxa"/>
                  <w:vAlign w:val="center"/>
                </w:tcPr>
                <w:p w14:paraId="72949715">
                  <w:r>
                    <w:t>920.0</w:t>
                  </w:r>
                </w:p>
              </w:tc>
              <w:tc>
                <w:tcPr>
                  <w:tcW w:w="1215" w:type="dxa"/>
                  <w:vAlign w:val="center"/>
                </w:tcPr>
                <w:p w14:paraId="2BEE1663">
                  <w:r>
                    <w:t>0.0173</w:t>
                  </w:r>
                </w:p>
              </w:tc>
              <w:tc>
                <w:tcPr>
                  <w:tcW w:w="2532" w:type="dxa"/>
                  <w:vAlign w:val="center"/>
                </w:tcPr>
                <w:p w14:paraId="4D636FD7">
                  <w:r>
                    <w:rPr>
                      <w:sz w:val="18"/>
                      <w:szCs w:val="18"/>
                    </w:rPr>
                    <w:t>民用建筑热工设计规范 GB50176-2016</w:t>
                  </w:r>
                </w:p>
              </w:tc>
            </w:tr>
            <w:tr w14:paraId="28D76277">
              <w:tblPrEx>
                <w:tblBorders>
                  <w:top w:val="single" w:color="000000" w:sz="12" w:space="0"/>
                  <w:left w:val="single" w:color="000000" w:sz="12" w:space="0"/>
                  <w:bottom w:val="single" w:color="000000" w:sz="12" w:space="0"/>
                  <w:right w:val="single" w:color="000000" w:sz="12" w:space="0"/>
                  <w:insideH w:val="single" w:color="000000" w:sz="8" w:space="0"/>
                  <w:insideV w:val="single" w:color="000000" w:sz="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63" w:type="dxa"/>
                  <w:shd w:val="clear" w:color="auto" w:fill="E6E6E6"/>
                  <w:vAlign w:val="center"/>
                </w:tcPr>
                <w:p w14:paraId="46F47673">
                  <w:r>
                    <w:t>轻骨料混凝土(找坡层)</w:t>
                  </w:r>
                </w:p>
              </w:tc>
              <w:tc>
                <w:tcPr>
                  <w:tcW w:w="1047" w:type="dxa"/>
                  <w:vAlign w:val="center"/>
                </w:tcPr>
                <w:p w14:paraId="4B313340">
                  <w:r>
                    <w:t>0.300</w:t>
                  </w:r>
                </w:p>
              </w:tc>
              <w:tc>
                <w:tcPr>
                  <w:tcW w:w="1094" w:type="dxa"/>
                  <w:vAlign w:val="center"/>
                </w:tcPr>
                <w:p w14:paraId="44B44C80">
                  <w:r>
                    <w:t>5.000</w:t>
                  </w:r>
                </w:p>
              </w:tc>
              <w:tc>
                <w:tcPr>
                  <w:tcW w:w="802" w:type="dxa"/>
                  <w:vAlign w:val="center"/>
                </w:tcPr>
                <w:p w14:paraId="70C5EAAF">
                  <w:r>
                    <w:t>1050.0</w:t>
                  </w:r>
                </w:p>
              </w:tc>
              <w:tc>
                <w:tcPr>
                  <w:tcW w:w="984" w:type="dxa"/>
                  <w:vAlign w:val="center"/>
                </w:tcPr>
                <w:p w14:paraId="66045211">
                  <w:r>
                    <w:t>1091.3</w:t>
                  </w:r>
                </w:p>
              </w:tc>
              <w:tc>
                <w:tcPr>
                  <w:tcW w:w="1215" w:type="dxa"/>
                  <w:vAlign w:val="center"/>
                </w:tcPr>
                <w:p w14:paraId="7E1B6755">
                  <w:r>
                    <w:t>0.0140</w:t>
                  </w:r>
                </w:p>
              </w:tc>
              <w:tc>
                <w:tcPr>
                  <w:tcW w:w="2532" w:type="dxa"/>
                  <w:vAlign w:val="center"/>
                </w:tcPr>
                <w:p w14:paraId="786D42DE">
                  <w:r>
                    <w:rPr>
                      <w:sz w:val="18"/>
                      <w:szCs w:val="18"/>
                    </w:rPr>
                    <w:t>民用建筑热工设计规范 GB50176-2016</w:t>
                  </w:r>
                </w:p>
              </w:tc>
            </w:tr>
          </w:tbl>
          <w:p w14:paraId="3CD5DCBD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</w:p>
        </w:tc>
      </w:tr>
    </w:tbl>
    <w:p w14:paraId="0739E4D7">
      <w:pPr>
        <w:spacing w:line="288" w:lineRule="auto"/>
        <w:rPr>
          <w:b/>
        </w:rPr>
      </w:pPr>
    </w:p>
    <w:p w14:paraId="38F164B6">
      <w:pPr>
        <w:spacing w:line="288" w:lineRule="auto"/>
        <w:rPr>
          <w:b/>
        </w:rPr>
      </w:pPr>
    </w:p>
    <w:p w14:paraId="78D66BC9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703C87BD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577A41ED">
      <w:pPr>
        <w:rPr>
          <w:rFonts w:ascii="Times New Roman" w:hAnsi="Times New Roman" w:cs="Times New Roman" w:eastAsiaTheme="majorEastAsia"/>
        </w:rPr>
      </w:pPr>
      <w:r>
        <w:rPr>
          <w:rFonts w:hint="eastAsia" w:ascii="Times New Roman" w:hAnsi="Times New Roman" w:cs="Times New Roman" w:eastAsiaTheme="majorEastAsia"/>
        </w:rPr>
        <w:t>1）结构竣工图及设计说明；</w:t>
      </w:r>
    </w:p>
    <w:p w14:paraId="2B078FCC">
      <w:pPr>
        <w:rPr>
          <w:rFonts w:ascii="Times New Roman" w:hAnsi="Times New Roman" w:cs="Times New Roman" w:eastAsiaTheme="majorEastAsia"/>
        </w:rPr>
      </w:pPr>
      <w:r>
        <w:rPr>
          <w:rFonts w:hint="eastAsia" w:ascii="Times New Roman" w:hAnsi="Times New Roman" w:cs="Times New Roman" w:eastAsiaTheme="majorEastAsia"/>
        </w:rPr>
        <w:t>2） 高强钢筋、高强混凝土、高强钢材、螺栓连接点等材料用量比例计算书、材料决算清单；</w:t>
      </w:r>
    </w:p>
    <w:p w14:paraId="1F2EFEF9">
      <w:pPr>
        <w:rPr>
          <w:rFonts w:ascii="Times New Roman" w:hAnsi="Times New Roman" w:cs="Times New Roman" w:eastAsiaTheme="majorEastAsia"/>
        </w:rPr>
      </w:pPr>
      <w:r>
        <w:rPr>
          <w:rFonts w:hint="eastAsia" w:ascii="Times New Roman" w:hAnsi="Times New Roman" w:cs="Times New Roman" w:eastAsiaTheme="majorEastAsia"/>
        </w:rPr>
        <w:t>3）与免支撑的楼板相关的施工记录文件。</w:t>
      </w:r>
    </w:p>
    <w:p w14:paraId="7FE60C80">
      <w:pPr>
        <w:rPr>
          <w:rFonts w:ascii="Times New Roman" w:hAnsi="Times New Roman" w:cs="Times New Roman" w:eastAsiaTheme="majorEastAsia"/>
        </w:rPr>
      </w:pPr>
    </w:p>
    <w:p w14:paraId="68DC3A19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3078F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1A97FD1F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object>
                <v:shape id="_x0000_i1025" o:spt="75" type="#_x0000_t75" style="height:65.5pt;width:72.5pt;" o:ole="t" filled="f" o:preferrelative="t" stroked="f" coordsize="21600,21600">
                  <v:fill on="f" focussize="0,0"/>
                  <v:stroke on="f"/>
                  <v:imagedata r:id="rId5" o:title=""/>
                  <o:lock v:ext="edit" aspectratio="t"/>
                  <w10:wrap type="none"/>
                  <w10:anchorlock/>
                </v:shape>
                <o:OLEObject Type="Embed" ProgID="Word.Document.12" ShapeID="_x0000_i1025" DrawAspect="Icon" ObjectID="_1468075725" r:id="rId4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object>
                <v:shape id="_x0000_i1026" o:spt="75" type="#_x0000_t75" style="height:65.5pt;width:72.5pt;" o:ole="t" filled="f" o:preferrelative="t" stroked="f" coordsize="21600,21600"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Word.Document.12" ShapeID="_x0000_i1026" DrawAspect="Icon" ObjectID="_1468075726" r:id="rId6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object>
                <v:shape id="_x0000_i1027" o:spt="75" type="#_x0000_t75" style="height:65.5pt;width:72.5pt;" o:ole="t" filled="f" o:preferrelative="t" stroked="f" coordsize="21600,21600"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Word.Document.12" ShapeID="_x0000_i1027" DrawAspect="Icon" ObjectID="_1468075727" r:id="rId8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object>
                <v:shape id="_x0000_i1028" o:spt="75" type="#_x0000_t75" style="height:65.5pt;width:72.5pt;" o:ole="t" filled="f" o:preferrelative="t" stroked="f" coordsize="21600,21600">
                  <v:fill on="f" focussize="0,0"/>
                  <v:stroke on="f"/>
                  <v:imagedata r:id="rId11" o:title=""/>
                  <o:lock v:ext="edit" aspectratio="t"/>
                  <w10:wrap type="none"/>
                  <w10:anchorlock/>
                </v:shape>
                <o:OLEObject Type="Embed" ProgID="Word.Document.12" ShapeID="_x0000_i1028" DrawAspect="Icon" ObjectID="_1468075728" r:id="rId10">
                  <o:LockedField>false</o:LockedField>
                </o:OLEObject>
              </w:object>
            </w:r>
            <w:bookmarkStart w:id="5" w:name="_GoBack"/>
            <w:bookmarkEnd w:id="5"/>
          </w:p>
        </w:tc>
      </w:tr>
    </w:tbl>
    <w:p w14:paraId="1DDD664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2A7013"/>
    <w:multiLevelType w:val="multilevel"/>
    <w:tmpl w:val="0F2A7013"/>
    <w:lvl w:ilvl="0" w:tentative="0">
      <w:start w:val="7"/>
      <w:numFmt w:val="bullet"/>
      <w:lvlText w:val="□"/>
      <w:lvlJc w:val="left"/>
      <w:pPr>
        <w:ind w:left="360" w:hanging="360"/>
      </w:pPr>
      <w:rPr>
        <w:rFonts w:hint="eastAsia" w:ascii="宋体" w:hAnsi="宋体" w:eastAsia="宋体" w:cs="仿宋_GB2312"/>
        <w:b w:val="0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76432CA1"/>
    <w:multiLevelType w:val="multilevel"/>
    <w:tmpl w:val="76432CA1"/>
    <w:lvl w:ilvl="0" w:tentative="0">
      <w:start w:val="7"/>
      <w:numFmt w:val="bullet"/>
      <w:lvlText w:val="□"/>
      <w:lvlJc w:val="left"/>
      <w:pPr>
        <w:ind w:left="360" w:hanging="360"/>
      </w:pPr>
      <w:rPr>
        <w:rFonts w:hint="eastAsia" w:ascii="宋体" w:hAnsi="宋体" w:eastAsia="宋体" w:cs="仿宋_GB2312"/>
        <w:b w:val="0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1BF"/>
    <w:rsid w:val="00074A38"/>
    <w:rsid w:val="006B2454"/>
    <w:rsid w:val="00C401BF"/>
    <w:rsid w:val="00D74FC3"/>
    <w:rsid w:val="00ED033A"/>
    <w:rsid w:val="00EE6093"/>
    <w:rsid w:val="43D8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6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uiPriority w:val="99"/>
    <w:rPr>
      <w:color w:val="808080"/>
    </w:rPr>
  </w:style>
  <w:style w:type="table" w:customStyle="1" w:styleId="13">
    <w:name w:val="网格型1"/>
    <w:basedOn w:val="6"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1"/>
    </w:rPr>
  </w:style>
  <w:style w:type="character" w:customStyle="1" w:styleId="15">
    <w:name w:val="样式1"/>
    <w:basedOn w:val="8"/>
    <w:uiPriority w:val="1"/>
    <w:rPr>
      <w:rFonts w:eastAsiaTheme="minorEastAsia"/>
      <w:sz w:val="21"/>
    </w:rPr>
  </w:style>
  <w:style w:type="character" w:customStyle="1" w:styleId="16">
    <w:name w:val="标题 3 Char"/>
    <w:basedOn w:val="8"/>
    <w:link w:val="2"/>
    <w:semiHidden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glossaryDocument" Target="glossary/document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04E0A7B7DC984E77961CF6129A533449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282BC60-D8AD-41A8-B370-874A894F1FED}"/>
      </w:docPartPr>
      <w:docPartBody>
        <w:p w14:paraId="51087B15">
          <w:pPr>
            <w:pStyle w:val="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0330C10020B64C7587831081A83924D5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5F0CE12-DF42-47C4-A20C-062CC0CD8B6F}"/>
      </w:docPartPr>
      <w:docPartBody>
        <w:p w14:paraId="72192EB4">
          <w:pPr>
            <w:pStyle w:val="6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8888185DA6934D51A3E2FBFD08CA91F7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5C79D23-5F1A-4820-BD68-8B2BF5C6327A}"/>
      </w:docPartPr>
      <w:docPartBody>
        <w:p w14:paraId="5ACC23CB">
          <w:pPr>
            <w:pStyle w:val="7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3ECAD2FFBEC145EC8F89E1CC9F5089EF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3C2D377-D5A3-499B-923C-688B8B1E1A88}"/>
      </w:docPartPr>
      <w:docPartBody>
        <w:p w14:paraId="6FF5E592">
          <w:pPr>
            <w:pStyle w:val="8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56F08561968A4DCF83C085237B10AD89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A9176F3-4A49-42C2-AB29-C38B731683EA}"/>
      </w:docPartPr>
      <w:docPartBody>
        <w:p w14:paraId="15D5CECC">
          <w:pPr>
            <w:pStyle w:val="9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E43A6334CB554C1785933552FAEFBB37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2E0D962-0E9A-47FA-B320-54D1B2C65C9D}"/>
      </w:docPartPr>
      <w:docPartBody>
        <w:p w14:paraId="6BDB6636">
          <w:pPr>
            <w:pStyle w:val="10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3F537E20723E46A19A935D6DD2735F34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8919C22-9AA7-4493-BCD1-4427FDCFDB63}"/>
      </w:docPartPr>
      <w:docPartBody>
        <w:p w14:paraId="50AC5C58">
          <w:pPr>
            <w:pStyle w:val="11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EEE3CA1DC25149AA94526C709C74D1E7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5858DDA-16E0-4611-B645-72CEA553B31A}"/>
      </w:docPartPr>
      <w:docPartBody>
        <w:p w14:paraId="246C44B1">
          <w:pPr>
            <w:pStyle w:val="12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9C44029D13C84295854D5B61285659EC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CF3D7B3-9B33-4C4F-ABDD-913846FA04EE}"/>
      </w:docPartPr>
      <w:docPartBody>
        <w:p w14:paraId="7BCB6184">
          <w:pPr>
            <w:pStyle w:val="13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63F46ED8A8FE42DD906284B871363B33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B7520E3-45FE-46DE-9F1A-A8A9688A1941}"/>
      </w:docPartPr>
      <w:docPartBody>
        <w:p w14:paraId="09F4666C">
          <w:pPr>
            <w:pStyle w:val="14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4D1"/>
    <w:rsid w:val="007C593F"/>
    <w:rsid w:val="00871570"/>
    <w:rsid w:val="00A3543D"/>
    <w:rsid w:val="00F53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qFormat="1" w:uiPriority="99" w:name="Normal Table"/>
    <w:lsdException w:qFormat="1"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qFormat/>
    <w:uiPriority w:val="99"/>
    <w:rPr>
      <w:color w:val="808080"/>
    </w:rPr>
  </w:style>
  <w:style w:type="paragraph" w:customStyle="1" w:styleId="5">
    <w:name w:val="04E0A7B7DC984E77961CF6129A53344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0330C10020B64C7587831081A83924D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8888185DA6934D51A3E2FBFD08CA91F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3ECAD2FFBEC145EC8F89E1CC9F5089EF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56F08561968A4DCF83C085237B10AD8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E43A6334CB554C1785933552FAEFBB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3F537E20723E46A19A935D6DD2735F3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EEE3CA1DC25149AA94526C709C74D1E7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9C44029D13C84295854D5B61285659E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63F46ED8A8FE42DD906284B871363B3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200B3625B1F642ABABB84BB46A87D8B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8E29C2B29215493EABE767567213FEA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386</Words>
  <Characters>420</Characters>
  <Lines>3</Lines>
  <Paragraphs>1</Paragraphs>
  <TotalTime>0</TotalTime>
  <ScaleCrop>false</ScaleCrop>
  <LinksUpToDate>false</LinksUpToDate>
  <CharactersWithSpaces>444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2019-07-12T08:11:00Z</dcterms:created>
  <dc:creator>dongYP</dc:creator>
  <cp:lastModifiedBy>Gambler</cp:lastModifiedBy>
  <dcterms:modified xsi:type="dcterms:W3CDTF">2025-03-13T00:15:20Z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eyJoZGlkIjoiOGNhZDQ4NGE4Nzg3MGIxNzk0NTJkMGM1YzczN2E5ZTAiLCJ1c2VySWQiOiI0MjUwNDcxMTEifQ==</vt:lpwstr>
  </property>
  <property fmtid="{D5CDD505-2E9C-101B-9397-08002B2CF9AE}" pid="3" name="KSOProductBuildVer">
    <vt:lpwstr>2052-12.1.0.20305</vt:lpwstr>
  </property>
  <property fmtid="{D5CDD505-2E9C-101B-9397-08002B2CF9AE}" pid="4" name="ICV">
    <vt:lpwstr>04ED43973D674F5B8598ABC1D59AF6F9_12</vt:lpwstr>
  </property>
</Properties>
</file>