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F5D910">
      <w:pPr>
        <w:pStyle w:val="3"/>
        <w:rPr>
          <w:b w:val="0"/>
        </w:rPr>
      </w:pPr>
      <w:r>
        <w:rPr>
          <w:rFonts w:hint="eastAsia"/>
          <w:sz w:val="24"/>
          <w:szCs w:val="40"/>
        </w:rPr>
        <w:t>7.2.8 采取措施降低建筑能耗。（</w:t>
      </w:r>
      <w:r>
        <w:rPr>
          <w:sz w:val="24"/>
          <w:szCs w:val="40"/>
        </w:rPr>
        <w:t>10</w:t>
      </w:r>
      <w:r>
        <w:rPr>
          <w:rFonts w:hint="eastAsia"/>
          <w:sz w:val="24"/>
          <w:szCs w:val="40"/>
        </w:rPr>
        <w:t>分）</w:t>
      </w:r>
    </w:p>
    <w:p w14:paraId="0BA76EA8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1 得分自评</w:t>
      </w:r>
    </w:p>
    <w:tbl>
      <w:tblPr>
        <w:tblStyle w:val="6"/>
        <w:tblW w:w="798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3"/>
        <w:gridCol w:w="4394"/>
        <w:gridCol w:w="1559"/>
        <w:gridCol w:w="1299"/>
      </w:tblGrid>
      <w:tr w14:paraId="504EE9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  <w:jc w:val="center"/>
        </w:trPr>
        <w:tc>
          <w:tcPr>
            <w:tcW w:w="733" w:type="dxa"/>
          </w:tcPr>
          <w:p w14:paraId="52C3AD6B">
            <w:pPr>
              <w:pStyle w:val="14"/>
              <w:ind w:firstLine="0" w:firstLineChars="0"/>
              <w:jc w:val="center"/>
              <w:rPr>
                <w:rFonts w:eastAsiaTheme="minorEastAsia"/>
              </w:rPr>
            </w:pPr>
            <w:bookmarkStart w:id="0" w:name="_Toc425233131"/>
            <w:r>
              <w:rPr>
                <w:rFonts w:eastAsiaTheme="minorEastAsia"/>
                <w:szCs w:val="21"/>
              </w:rPr>
              <w:t>序号</w:t>
            </w:r>
          </w:p>
        </w:tc>
        <w:tc>
          <w:tcPr>
            <w:tcW w:w="4394" w:type="dxa"/>
          </w:tcPr>
          <w:p w14:paraId="6272D4DC">
            <w:pPr>
              <w:pStyle w:val="14"/>
              <w:ind w:firstLine="0" w:firstLineChars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szCs w:val="21"/>
              </w:rPr>
              <w:t>评价内容</w:t>
            </w:r>
          </w:p>
        </w:tc>
        <w:tc>
          <w:tcPr>
            <w:tcW w:w="1559" w:type="dxa"/>
          </w:tcPr>
          <w:p w14:paraId="21AB9A5C">
            <w:pPr>
              <w:pStyle w:val="14"/>
              <w:ind w:firstLine="0" w:firstLineChars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szCs w:val="21"/>
              </w:rPr>
              <w:t>评价分值</w:t>
            </w:r>
          </w:p>
        </w:tc>
        <w:tc>
          <w:tcPr>
            <w:tcW w:w="1299" w:type="dxa"/>
          </w:tcPr>
          <w:p w14:paraId="642AF898">
            <w:pPr>
              <w:pStyle w:val="14"/>
              <w:ind w:firstLine="0" w:firstLineChars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szCs w:val="21"/>
              </w:rPr>
              <w:t>自评得分</w:t>
            </w:r>
          </w:p>
        </w:tc>
      </w:tr>
      <w:tr w14:paraId="4EAA22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733" w:type="dxa"/>
          </w:tcPr>
          <w:p w14:paraId="6883F84E">
            <w:pPr>
              <w:pStyle w:val="14"/>
              <w:ind w:firstLine="0" w:firstLineChars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4394" w:type="dxa"/>
            <w:vAlign w:val="center"/>
          </w:tcPr>
          <w:p w14:paraId="3FDFF3FE">
            <w:pPr>
              <w:pStyle w:val="14"/>
              <w:ind w:firstLine="0" w:firstLineChars="0"/>
              <w:jc w:val="left"/>
              <w:rPr>
                <w:rFonts w:eastAsiaTheme="minorEastAsia"/>
              </w:rPr>
            </w:pPr>
            <w:r>
              <w:rPr>
                <w:rFonts w:eastAsiaTheme="minorEastAsia"/>
              </w:rPr>
              <w:t>建筑能耗相比国家现行有关建筑节能标准降低10%</w:t>
            </w:r>
          </w:p>
        </w:tc>
        <w:tc>
          <w:tcPr>
            <w:tcW w:w="1559" w:type="dxa"/>
            <w:vAlign w:val="center"/>
          </w:tcPr>
          <w:p w14:paraId="01D8E4F2">
            <w:pPr>
              <w:pStyle w:val="14"/>
              <w:ind w:firstLine="0" w:firstLineChars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</w:t>
            </w:r>
          </w:p>
        </w:tc>
        <w:sdt>
          <w:sdtPr>
            <w:rPr>
              <w:rFonts w:hint="eastAsia"/>
              <w:szCs w:val="21"/>
            </w:rPr>
            <w:id w:val="-1989623139"/>
            <w:placeholder>
              <w:docPart w:val="555627DD1B4C413FAE32D397E6B8593C"/>
            </w:placeholder>
            <w:text/>
          </w:sdtPr>
          <w:sdtEndPr>
            <w:rPr>
              <w:rFonts w:hint="eastAsia"/>
              <w:szCs w:val="21"/>
            </w:rPr>
          </w:sdtEndPr>
          <w:sdtContent>
            <w:tc>
              <w:tcPr>
                <w:tcW w:w="1299" w:type="dxa"/>
                <w:vAlign w:val="center"/>
              </w:tcPr>
              <w:p w14:paraId="5E3FF7E0">
                <w:pPr>
                  <w:pStyle w:val="14"/>
                  <w:ind w:firstLine="0" w:firstLineChars="0"/>
                  <w:jc w:val="center"/>
                  <w:rPr>
                    <w:rFonts w:eastAsiaTheme="minorEastAsia"/>
                  </w:rPr>
                </w:pPr>
                <w:r>
                  <w:rPr>
                    <w:rFonts w:hint="eastAsia"/>
                    <w:szCs w:val="21"/>
                  </w:rPr>
                  <w:t xml:space="preserve">  </w:t>
                </w:r>
              </w:p>
            </w:tc>
          </w:sdtContent>
        </w:sdt>
      </w:tr>
      <w:tr w14:paraId="568607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733" w:type="dxa"/>
          </w:tcPr>
          <w:p w14:paraId="7BE1172E">
            <w:pPr>
              <w:pStyle w:val="14"/>
              <w:ind w:firstLine="0" w:firstLineChars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4394" w:type="dxa"/>
            <w:vAlign w:val="center"/>
          </w:tcPr>
          <w:p w14:paraId="6B5D9ED8">
            <w:pPr>
              <w:pStyle w:val="14"/>
              <w:ind w:firstLine="0" w:firstLineChars="0"/>
              <w:jc w:val="left"/>
              <w:rPr>
                <w:rFonts w:eastAsiaTheme="minorEastAsia"/>
              </w:rPr>
            </w:pPr>
            <w:r>
              <w:rPr>
                <w:rFonts w:eastAsiaTheme="minorEastAsia"/>
              </w:rPr>
              <w:t>建筑能耗相比国家现行有关建筑节能标准降低20%</w:t>
            </w:r>
          </w:p>
        </w:tc>
        <w:tc>
          <w:tcPr>
            <w:tcW w:w="1559" w:type="dxa"/>
            <w:vAlign w:val="center"/>
          </w:tcPr>
          <w:p w14:paraId="524FB0DF">
            <w:pPr>
              <w:pStyle w:val="14"/>
              <w:ind w:firstLine="0" w:firstLineChars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</w:t>
            </w:r>
          </w:p>
        </w:tc>
        <w:sdt>
          <w:sdtPr>
            <w:rPr>
              <w:rFonts w:hint="eastAsia"/>
              <w:szCs w:val="21"/>
            </w:rPr>
            <w:id w:val="-1961178464"/>
            <w:placeholder>
              <w:docPart w:val="103B23440984468FB902E6FA0351B195"/>
            </w:placeholder>
            <w:text/>
          </w:sdtPr>
          <w:sdtEndPr>
            <w:rPr>
              <w:rFonts w:hint="eastAsia"/>
              <w:szCs w:val="21"/>
            </w:rPr>
          </w:sdtEndPr>
          <w:sdtContent>
            <w:tc>
              <w:tcPr>
                <w:tcW w:w="1299" w:type="dxa"/>
                <w:vAlign w:val="center"/>
              </w:tcPr>
              <w:p w14:paraId="45FD08B8">
                <w:pPr>
                  <w:pStyle w:val="14"/>
                  <w:ind w:firstLine="0" w:firstLineChars="0"/>
                  <w:jc w:val="center"/>
                  <w:rPr>
                    <w:rFonts w:eastAsiaTheme="minorEastAsia"/>
                  </w:rPr>
                </w:pPr>
                <w:r>
                  <w:rPr>
                    <w:rFonts w:hint="eastAsia"/>
                    <w:szCs w:val="21"/>
                    <w:lang w:val="en-US" w:eastAsia="zh-CN"/>
                  </w:rPr>
                  <w:t>10</w:t>
                </w:r>
                <w:r>
                  <w:rPr>
                    <w:rFonts w:hint="eastAsia"/>
                    <w:szCs w:val="21"/>
                  </w:rPr>
                  <w:t xml:space="preserve">  </w:t>
                </w:r>
              </w:p>
            </w:tc>
          </w:sdtContent>
        </w:sdt>
      </w:tr>
      <w:tr w14:paraId="6DE75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5127" w:type="dxa"/>
            <w:gridSpan w:val="2"/>
          </w:tcPr>
          <w:p w14:paraId="1EE086B0">
            <w:pPr>
              <w:pStyle w:val="14"/>
              <w:ind w:firstLine="0" w:firstLineChars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合计</w:t>
            </w:r>
          </w:p>
        </w:tc>
        <w:tc>
          <w:tcPr>
            <w:tcW w:w="1559" w:type="dxa"/>
            <w:vAlign w:val="center"/>
          </w:tcPr>
          <w:p w14:paraId="7F5BF42C">
            <w:pPr>
              <w:pStyle w:val="14"/>
              <w:ind w:firstLine="0" w:firstLineChars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</w:t>
            </w:r>
          </w:p>
        </w:tc>
        <w:sdt>
          <w:sdtPr>
            <w:rPr>
              <w:rFonts w:hint="eastAsia"/>
              <w:szCs w:val="21"/>
            </w:rPr>
            <w:id w:val="1045482936"/>
            <w:placeholder>
              <w:docPart w:val="600E1B95A71449BEB639C380EAE2BA32"/>
            </w:placeholder>
            <w:text/>
          </w:sdtPr>
          <w:sdtEndPr>
            <w:rPr>
              <w:rFonts w:hint="eastAsia"/>
              <w:szCs w:val="21"/>
            </w:rPr>
          </w:sdtEndPr>
          <w:sdtContent>
            <w:tc>
              <w:tcPr>
                <w:tcW w:w="1299" w:type="dxa"/>
                <w:vAlign w:val="center"/>
              </w:tcPr>
              <w:p w14:paraId="47DC482C">
                <w:pPr>
                  <w:pStyle w:val="14"/>
                  <w:ind w:firstLine="0" w:firstLineChars="0"/>
                  <w:jc w:val="center"/>
                  <w:rPr>
                    <w:rFonts w:eastAsiaTheme="minorEastAsia"/>
                  </w:rPr>
                </w:pPr>
                <w:r>
                  <w:rPr>
                    <w:rFonts w:hint="eastAsia"/>
                    <w:szCs w:val="21"/>
                    <w:lang w:val="en-US" w:eastAsia="zh-CN"/>
                  </w:rPr>
                  <w:t>10</w:t>
                </w:r>
                <w:r>
                  <w:rPr>
                    <w:rFonts w:hint="eastAsia"/>
                    <w:szCs w:val="21"/>
                  </w:rPr>
                  <w:t xml:space="preserve">  </w:t>
                </w:r>
              </w:p>
            </w:tc>
          </w:sdtContent>
        </w:sdt>
      </w:tr>
    </w:tbl>
    <w:p w14:paraId="55662DF0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bookmarkStart w:id="1" w:name="_Toc9945487"/>
      <w:bookmarkStart w:id="2" w:name="_Toc9945204"/>
      <w:bookmarkStart w:id="3" w:name="_Toc9945346"/>
      <w:bookmarkStart w:id="4" w:name="_Toc9944780"/>
      <w:bookmarkStart w:id="5" w:name="_Toc9945060"/>
      <w:r>
        <w:rPr>
          <w:rFonts w:ascii="Times New Roman" w:hAnsi="Times New Roman" w:eastAsia="宋体" w:cs="Times New Roman"/>
          <w:b/>
          <w:szCs w:val="21"/>
        </w:rPr>
        <w:t>2 评价要点</w:t>
      </w:r>
    </w:p>
    <w:p w14:paraId="1EF19E42">
      <w:r>
        <w:rPr>
          <w:rFonts w:hint="eastAsia"/>
        </w:rPr>
        <w:t>能耗计算结果：</w:t>
      </w:r>
      <w:bookmarkEnd w:id="1"/>
      <w:bookmarkEnd w:id="2"/>
      <w:bookmarkEnd w:id="3"/>
      <w:bookmarkEnd w:id="4"/>
      <w:bookmarkEnd w:id="5"/>
    </w:p>
    <w:tbl>
      <w:tblPr>
        <w:tblStyle w:val="6"/>
        <w:tblW w:w="79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5"/>
        <w:gridCol w:w="1559"/>
        <w:gridCol w:w="1985"/>
        <w:gridCol w:w="1559"/>
      </w:tblGrid>
      <w:tr w14:paraId="6AA9C7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  <w:jc w:val="center"/>
        </w:trPr>
        <w:tc>
          <w:tcPr>
            <w:tcW w:w="2835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DDB9B7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Cs w:val="18"/>
              </w:rPr>
              <w:t>建筑分项能耗</w:t>
            </w:r>
          </w:p>
        </w:tc>
        <w:tc>
          <w:tcPr>
            <w:tcW w:w="1559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5D8CE0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Cs w:val="18"/>
              </w:rPr>
              <w:t>单位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96BE55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Cs w:val="18"/>
              </w:rPr>
              <w:t>能耗约束值</w:t>
            </w:r>
          </w:p>
        </w:tc>
        <w:tc>
          <w:tcPr>
            <w:tcW w:w="1559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7F00EB3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Cs w:val="18"/>
              </w:rPr>
              <w:t>实际能耗</w:t>
            </w:r>
          </w:p>
        </w:tc>
      </w:tr>
      <w:tr w14:paraId="56008F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  <w:jc w:val="center"/>
        </w:trPr>
        <w:tc>
          <w:tcPr>
            <w:tcW w:w="283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13D1E2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Cs w:val="18"/>
              </w:rPr>
              <w:t>供暖空调系统能耗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F2889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Cs w:val="18"/>
              </w:rPr>
              <w:t>kWh/m</w:t>
            </w:r>
            <w:r>
              <w:rPr>
                <w:rFonts w:ascii="Times New Roman" w:hAnsi="Times New Roman" w:cs="Times New Roman"/>
                <w:kern w:val="0"/>
                <w:szCs w:val="18"/>
                <w:vertAlign w:val="superscript"/>
              </w:rPr>
              <w:t>2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1997916830"/>
            <w:placeholder>
              <w:docPart w:val="1AEE0C5F36F14BFC9237F0B6C63AD189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985" w:type="dxa"/>
                <w:tcBorders>
                  <w:top w:val="nil"/>
                  <w:left w:val="nil"/>
                  <w:bottom w:val="single" w:color="auto" w:sz="4" w:space="0"/>
                  <w:right w:val="single" w:color="auto" w:sz="4" w:space="0"/>
                </w:tcBorders>
              </w:tcPr>
              <w:p w14:paraId="3D86C7E8">
                <w:pPr>
                  <w:widowControl/>
                  <w:jc w:val="center"/>
                  <w:rPr>
                    <w:rFonts w:ascii="Times New Roman" w:hAnsi="Times New Roman" w:cs="Times New Roman"/>
                    <w:kern w:val="0"/>
                    <w:szCs w:val="21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191729290"/>
            <w:placeholder>
              <w:docPart w:val="F344E3F6A35D4CC295CECA6113543DD5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559" w:type="dxa"/>
                <w:tcBorders>
                  <w:top w:val="nil"/>
                  <w:left w:val="nil"/>
                  <w:bottom w:val="single" w:color="auto" w:sz="4" w:space="0"/>
                  <w:right w:val="single" w:color="auto" w:sz="8" w:space="0"/>
                </w:tcBorders>
              </w:tcPr>
              <w:p w14:paraId="43A1004D">
                <w:pPr>
                  <w:jc w:val="center"/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  <w:tr w14:paraId="16995F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  <w:jc w:val="center"/>
        </w:trPr>
        <w:tc>
          <w:tcPr>
            <w:tcW w:w="283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50BF4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Cs w:val="18"/>
              </w:rPr>
              <w:t>照明系统能耗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3D2621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Cs w:val="18"/>
              </w:rPr>
              <w:t>kWh/m</w:t>
            </w:r>
            <w:r>
              <w:rPr>
                <w:rFonts w:ascii="Times New Roman" w:hAnsi="Times New Roman" w:cs="Times New Roman"/>
                <w:kern w:val="0"/>
                <w:szCs w:val="18"/>
                <w:vertAlign w:val="superscript"/>
              </w:rPr>
              <w:t>2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844155367"/>
            <w:placeholder>
              <w:docPart w:val="8AE1FD239983419A9F0BB6B2641286C5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985" w:type="dxa"/>
                <w:tcBorders>
                  <w:top w:val="nil"/>
                  <w:left w:val="nil"/>
                  <w:bottom w:val="single" w:color="auto" w:sz="4" w:space="0"/>
                  <w:right w:val="single" w:color="auto" w:sz="4" w:space="0"/>
                </w:tcBorders>
              </w:tcPr>
              <w:p w14:paraId="567ECB7F">
                <w:pPr>
                  <w:jc w:val="center"/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209949639"/>
            <w:placeholder>
              <w:docPart w:val="EDC73FCBC3174D719952F332A066B05E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559" w:type="dxa"/>
                <w:tcBorders>
                  <w:top w:val="nil"/>
                  <w:left w:val="nil"/>
                  <w:bottom w:val="single" w:color="auto" w:sz="4" w:space="0"/>
                  <w:right w:val="single" w:color="auto" w:sz="8" w:space="0"/>
                </w:tcBorders>
              </w:tcPr>
              <w:p w14:paraId="29FBE3C2">
                <w:pPr>
                  <w:jc w:val="center"/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  <w:tr w14:paraId="52D293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  <w:jc w:val="center"/>
        </w:trPr>
        <w:tc>
          <w:tcPr>
            <w:tcW w:w="283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54B84E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Cs w:val="18"/>
              </w:rPr>
              <w:t>单位面积全年总能耗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1DCBD8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Cs w:val="18"/>
              </w:rPr>
              <w:t>kWh/m</w:t>
            </w:r>
            <w:r>
              <w:rPr>
                <w:rFonts w:ascii="Times New Roman" w:hAnsi="Times New Roman" w:cs="Times New Roman"/>
                <w:kern w:val="0"/>
                <w:szCs w:val="18"/>
                <w:vertAlign w:val="superscript"/>
              </w:rPr>
              <w:t>2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573472217"/>
            <w:placeholder>
              <w:docPart w:val="BDD65411D67B4E92828B3387F00AD317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985" w:type="dxa"/>
                <w:tcBorders>
                  <w:top w:val="nil"/>
                  <w:left w:val="nil"/>
                  <w:bottom w:val="single" w:color="auto" w:sz="4" w:space="0"/>
                  <w:right w:val="single" w:color="auto" w:sz="4" w:space="0"/>
                </w:tcBorders>
              </w:tcPr>
              <w:p w14:paraId="7AA8CCA3">
                <w:pPr>
                  <w:jc w:val="center"/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649336810"/>
            <w:placeholder>
              <w:docPart w:val="9155921A634D41048B890F0F7A94994B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559" w:type="dxa"/>
                <w:tcBorders>
                  <w:top w:val="nil"/>
                  <w:left w:val="nil"/>
                  <w:bottom w:val="single" w:color="auto" w:sz="4" w:space="0"/>
                  <w:right w:val="single" w:color="auto" w:sz="8" w:space="0"/>
                </w:tcBorders>
              </w:tcPr>
              <w:p w14:paraId="005FBD26">
                <w:pPr>
                  <w:jc w:val="center"/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  <w:tr w14:paraId="294517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" w:hRule="atLeast"/>
          <w:jc w:val="center"/>
        </w:trPr>
        <w:tc>
          <w:tcPr>
            <w:tcW w:w="28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 w14:paraId="5F51EAE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Cs w:val="18"/>
              </w:rPr>
              <w:t>能耗降低幅度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 w14:paraId="0753D37F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Cs w:val="18"/>
              </w:rPr>
              <w:t>％</w:t>
            </w:r>
          </w:p>
        </w:tc>
        <w:sdt>
          <w:sdtPr>
            <w:rPr>
              <w:rFonts w:hint="eastAsia"/>
              <w:szCs w:val="21"/>
            </w:rPr>
            <w:id w:val="1923986073"/>
            <w:placeholder>
              <w:docPart w:val="611D3DE11C91406CAD8FE8CC2B8D6762"/>
            </w:placeholder>
            <w:text/>
          </w:sdtPr>
          <w:sdtEndPr>
            <w:rPr>
              <w:rFonts w:hint="eastAsia"/>
              <w:szCs w:val="21"/>
            </w:rPr>
          </w:sdtEndPr>
          <w:sdtContent>
            <w:tc>
              <w:tcPr>
                <w:tcW w:w="3544" w:type="dxa"/>
                <w:gridSpan w:val="2"/>
                <w:tcBorders>
                  <w:top w:val="nil"/>
                  <w:left w:val="nil"/>
                  <w:bottom w:val="single" w:color="auto" w:sz="8" w:space="0"/>
                  <w:right w:val="single" w:color="auto" w:sz="8" w:space="0"/>
                </w:tcBorders>
                <w:vAlign w:val="center"/>
              </w:tcPr>
              <w:p w14:paraId="1E41F5FF">
                <w:pPr>
                  <w:pStyle w:val="15"/>
                  <w:spacing w:line="288" w:lineRule="auto"/>
                  <w:ind w:firstLine="360"/>
                  <w:jc w:val="center"/>
                  <w:outlineLvl w:val="9"/>
                  <w:rPr>
                    <w:rFonts w:eastAsiaTheme="minorEastAsia"/>
                    <w:sz w:val="21"/>
                    <w:szCs w:val="21"/>
                  </w:rPr>
                </w:pPr>
                <w:r>
                  <w:rPr>
                    <w:rFonts w:hint="eastAsia"/>
                    <w:szCs w:val="21"/>
                  </w:rPr>
                  <w:t xml:space="preserve">  </w:t>
                </w:r>
              </w:p>
            </w:tc>
          </w:sdtContent>
        </w:sdt>
      </w:tr>
    </w:tbl>
    <w:p w14:paraId="4DEBFBD9">
      <w:pPr>
        <w:spacing w:line="288" w:lineRule="auto"/>
        <w:rPr>
          <w:szCs w:val="21"/>
          <w:u w:val="single"/>
          <w:lang w:val="zh-CN"/>
        </w:rPr>
      </w:pPr>
      <w:r>
        <w:rPr>
          <w:rFonts w:hint="eastAsia"/>
          <w:szCs w:val="21"/>
          <w:lang w:val="zh-CN"/>
        </w:rPr>
        <w:t>执行的节能设计标准：</w:t>
      </w:r>
      <w:r>
        <w:rPr>
          <w:rFonts w:hint="eastAsia"/>
          <w:szCs w:val="21"/>
          <w:u w:val="single"/>
        </w:rPr>
        <w:t xml:space="preserve">              </w:t>
      </w:r>
      <w:r>
        <w:rPr>
          <w:rFonts w:hint="eastAsia"/>
          <w:szCs w:val="21"/>
          <w:u w:val="single"/>
          <w:lang w:val="en-US"/>
        </w:rPr>
        <w:t>《建筑节能与可再生能源利用通用规范》</w:t>
      </w:r>
      <w:r>
        <w:rPr>
          <w:rFonts w:hint="eastAsia"/>
          <w:szCs w:val="21"/>
          <w:u w:val="single"/>
        </w:rPr>
        <w:t xml:space="preserve">                    </w:t>
      </w:r>
      <w:r>
        <w:rPr>
          <w:szCs w:val="21"/>
          <w:u w:val="single"/>
          <w:lang w:val="zh-CN"/>
        </w:rPr>
        <w:t xml:space="preserve"> </w:t>
      </w:r>
    </w:p>
    <w:p w14:paraId="1DFB3DEE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3 证明材料</w:t>
      </w:r>
    </w:p>
    <w:p w14:paraId="768CE861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提交材料及要求：</w:t>
      </w:r>
    </w:p>
    <w:p w14:paraId="63C17902">
      <w:pPr>
        <w:rPr>
          <w:rFonts w:ascii="Times New Roman" w:hAnsi="Times New Roman" w:cs="Times New Roman" w:eastAsiaTheme="majorEastAsia"/>
        </w:rPr>
      </w:pPr>
      <w:bookmarkStart w:id="6" w:name="_Toc9944782"/>
      <w:bookmarkStart w:id="7" w:name="_Toc9945489"/>
      <w:bookmarkStart w:id="8" w:name="_Toc9945206"/>
      <w:bookmarkStart w:id="9" w:name="_Toc9945348"/>
      <w:bookmarkStart w:id="10" w:name="_Toc9945062"/>
      <w:r>
        <w:rPr>
          <w:rFonts w:hint="eastAsia" w:ascii="Times New Roman" w:hAnsi="Times New Roman" w:cs="Times New Roman" w:eastAsiaTheme="majorEastAsia"/>
        </w:rPr>
        <w:t>1）暖通空调专业竣工图及设计说明、暖通空调能耗模拟计算书</w:t>
      </w:r>
      <w:bookmarkEnd w:id="6"/>
      <w:bookmarkEnd w:id="7"/>
      <w:bookmarkEnd w:id="8"/>
      <w:bookmarkEnd w:id="9"/>
      <w:bookmarkEnd w:id="10"/>
      <w:r>
        <w:rPr>
          <w:rFonts w:hint="eastAsia" w:ascii="Times New Roman" w:hAnsi="Times New Roman" w:cs="Times New Roman" w:eastAsiaTheme="majorEastAsia"/>
        </w:rPr>
        <w:t>；</w:t>
      </w:r>
    </w:p>
    <w:p w14:paraId="25D62A0D">
      <w:pPr>
        <w:rPr>
          <w:rFonts w:ascii="Times New Roman" w:hAnsi="Times New Roman" w:cs="Times New Roman" w:eastAsiaTheme="majorEastAsia"/>
        </w:rPr>
      </w:pPr>
      <w:r>
        <w:rPr>
          <w:rFonts w:hint="eastAsia" w:ascii="Times New Roman" w:hAnsi="Times New Roman" w:cs="Times New Roman" w:eastAsiaTheme="majorEastAsia"/>
        </w:rPr>
        <w:t>2）内装竣工图及设计说明、电气专业竣工图及设计说明、照明能耗模拟计算书；</w:t>
      </w:r>
      <w:bookmarkStart w:id="11" w:name="_Toc9944783"/>
      <w:bookmarkStart w:id="12" w:name="_Toc9945349"/>
      <w:bookmarkStart w:id="13" w:name="_Toc9945063"/>
      <w:bookmarkStart w:id="14" w:name="_Toc9945207"/>
      <w:bookmarkStart w:id="15" w:name="_Toc9945490"/>
    </w:p>
    <w:p w14:paraId="53C08699">
      <w:pPr>
        <w:rPr>
          <w:rFonts w:ascii="Times New Roman" w:hAnsi="Times New Roman" w:cs="Times New Roman" w:eastAsiaTheme="majorEastAsia"/>
        </w:rPr>
      </w:pPr>
      <w:r>
        <w:rPr>
          <w:rFonts w:hint="eastAsia" w:ascii="Times New Roman" w:hAnsi="Times New Roman" w:cs="Times New Roman" w:eastAsiaTheme="majorEastAsia"/>
        </w:rPr>
        <w:t>3）投入使用</w:t>
      </w:r>
      <w:r>
        <w:rPr>
          <w:rFonts w:ascii="Times New Roman" w:hAnsi="Times New Roman" w:cs="Times New Roman" w:eastAsiaTheme="majorEastAsia"/>
        </w:rPr>
        <w:t>满</w:t>
      </w:r>
      <w:r>
        <w:rPr>
          <w:rFonts w:hint="eastAsia" w:ascii="Times New Roman" w:hAnsi="Times New Roman" w:cs="Times New Roman" w:eastAsiaTheme="majorEastAsia"/>
        </w:rPr>
        <w:t>1年</w:t>
      </w:r>
      <w:r>
        <w:rPr>
          <w:rFonts w:ascii="Times New Roman" w:hAnsi="Times New Roman" w:cs="Times New Roman" w:eastAsiaTheme="majorEastAsia"/>
        </w:rPr>
        <w:t>，应提供</w:t>
      </w:r>
      <w:r>
        <w:rPr>
          <w:rFonts w:hint="eastAsia" w:ascii="Times New Roman" w:hAnsi="Times New Roman" w:cs="Times New Roman" w:eastAsiaTheme="majorEastAsia"/>
        </w:rPr>
        <w:t>建筑能耗记录及</w:t>
      </w:r>
      <w:r>
        <w:rPr>
          <w:rFonts w:ascii="Times New Roman" w:hAnsi="Times New Roman" w:cs="Times New Roman" w:eastAsiaTheme="majorEastAsia"/>
        </w:rPr>
        <w:t>节能率计算报告</w:t>
      </w:r>
      <w:r>
        <w:rPr>
          <w:rFonts w:hint="eastAsia" w:ascii="Times New Roman" w:hAnsi="Times New Roman" w:cs="Times New Roman" w:eastAsiaTheme="majorEastAsia"/>
        </w:rPr>
        <w:t>。</w:t>
      </w:r>
      <w:bookmarkEnd w:id="11"/>
      <w:bookmarkEnd w:id="12"/>
      <w:bookmarkEnd w:id="13"/>
      <w:bookmarkEnd w:id="14"/>
      <w:bookmarkEnd w:id="15"/>
    </w:p>
    <w:p w14:paraId="579E6C3B"/>
    <w:bookmarkEnd w:id="0"/>
    <w:p w14:paraId="7B1938E0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实际提交材料：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59AC1B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 w14:paraId="4EE3FAB4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  <w:object>
                <v:shape id="_x0000_i1025" o:spt="75" type="#_x0000_t75" style="height:65.5pt;width:72.5pt;" o:ole="t" filled="f" o:preferrelative="t" stroked="f" coordsize="21600,21600">
                  <v:fill on="f" focussize="0,0"/>
                  <v:stroke on="f"/>
                  <v:imagedata r:id="rId5" o:title=""/>
                  <o:lock v:ext="edit" aspectratio="t"/>
                  <w10:wrap type="none"/>
                  <w10:anchorlock/>
                </v:shape>
                <o:OLEObject Type="Embed" ProgID="Excel.Sheet.12" ShapeID="_x0000_i1025" DrawAspect="Icon" ObjectID="_1468075725" r:id="rId4">
                  <o:LockedField>false</o:LockedField>
                </o:OLEObject>
              </w:objec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  <w:object>
                <v:shape id="_x0000_i1026" o:spt="75" type="#_x0000_t75" style="height:65.5pt;width:72.5pt;" o:ole="t" filled="f" o:preferrelative="t" stroked="f" coordsize="21600,21600"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o:OLEObject Type="Embed" ProgID="Excel.Sheet.12" ShapeID="_x0000_i1026" DrawAspect="Icon" ObjectID="_1468075726" r:id="rId6">
                  <o:LockedField>false</o:LockedField>
                </o:OLEObject>
              </w:objec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  <w:object>
                <v:shape id="_x0000_i1027" o:spt="75" type="#_x0000_t75" style="height:65.5pt;width:72.5pt;" o:ole="t" filled="f" o:preferrelative="t" stroked="f" coordsize="21600,21600">
                  <v:fill on="f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Word.Document.12" ShapeID="_x0000_i1027" DrawAspect="Icon" ObjectID="_1468075727" r:id="rId8">
                  <o:LockedField>false</o:LockedField>
                </o:OLEObject>
              </w:objec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  <w:object>
                <v:shape id="_x0000_i1029" o:spt="75" type="#_x0000_t75" style="height:65.5pt;width:72.5pt;" o:ole="t" filled="f" o:preferrelative="t" stroked="f" coordsize="21600,21600">
                  <v:path/>
                  <v:fill on="f" focussize="0,0"/>
                  <v:stroke on="f"/>
                  <v:imagedata r:id="rId11" o:title=""/>
                  <o:lock v:ext="edit" aspectratio="t"/>
                  <w10:wrap type="none"/>
                  <w10:anchorlock/>
                </v:shape>
                <o:OLEObject Type="Embed" ProgID="Word.Document.12" ShapeID="_x0000_i1029" DrawAspect="Icon" ObjectID="_1468075728" r:id="rId10">
                  <o:LockedField>false</o:LockedField>
                </o:OLEObject>
              </w:object>
            </w:r>
            <w:bookmarkStart w:id="16" w:name="_GoBack"/>
            <w:bookmarkEnd w:id="16"/>
          </w:p>
        </w:tc>
      </w:tr>
    </w:tbl>
    <w:p w14:paraId="3A85E8C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023"/>
    <w:rsid w:val="00074A38"/>
    <w:rsid w:val="00440904"/>
    <w:rsid w:val="00617920"/>
    <w:rsid w:val="007B5023"/>
    <w:rsid w:val="00DB6FE5"/>
    <w:rsid w:val="00E3511E"/>
    <w:rsid w:val="00EB0B1F"/>
    <w:rsid w:val="00FC3004"/>
    <w:rsid w:val="19E40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2"/>
    <w:next w:val="1"/>
    <w:link w:val="11"/>
    <w:unhideWhenUsed/>
    <w:qFormat/>
    <w:uiPriority w:val="0"/>
    <w:pPr>
      <w:spacing w:line="240" w:lineRule="auto"/>
      <w:jc w:val="left"/>
      <w:outlineLvl w:val="3"/>
    </w:pPr>
    <w:rPr>
      <w:rFonts w:ascii="Times New Roman" w:hAnsi="Times New Roman" w:eastAsia="宋体" w:cs="Times New Roman"/>
      <w:sz w:val="21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标题 4 Char"/>
    <w:basedOn w:val="8"/>
    <w:link w:val="3"/>
    <w:qFormat/>
    <w:uiPriority w:val="0"/>
    <w:rPr>
      <w:rFonts w:ascii="Times New Roman" w:hAnsi="Times New Roman" w:eastAsia="宋体" w:cs="Times New Roman"/>
      <w:b/>
      <w:bCs/>
      <w:szCs w:val="32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table" w:customStyle="1" w:styleId="13">
    <w:name w:val="网格型1"/>
    <w:basedOn w:val="6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4">
    <w:name w:val="列出段落1"/>
    <w:basedOn w:val="1"/>
    <w:qFormat/>
    <w:uiPriority w:val="34"/>
    <w:pPr>
      <w:spacing w:line="288" w:lineRule="auto"/>
      <w:ind w:firstLine="420" w:firstLineChars="200"/>
    </w:pPr>
    <w:rPr>
      <w:rFonts w:ascii="Times New Roman" w:hAnsi="Times New Roman" w:eastAsia="宋体" w:cs="Times New Roman"/>
      <w:szCs w:val="24"/>
    </w:rPr>
  </w:style>
  <w:style w:type="paragraph" w:customStyle="1" w:styleId="15">
    <w:name w:val="条文"/>
    <w:basedOn w:val="1"/>
    <w:qFormat/>
    <w:uiPriority w:val="0"/>
    <w:pPr>
      <w:spacing w:line="300" w:lineRule="auto"/>
      <w:outlineLvl w:val="2"/>
    </w:pPr>
    <w:rPr>
      <w:rFonts w:ascii="Times New Roman" w:hAnsi="Times New Roman" w:eastAsia="宋体" w:cs="Times New Roman"/>
      <w:sz w:val="24"/>
      <w:szCs w:val="24"/>
    </w:rPr>
  </w:style>
  <w:style w:type="character" w:customStyle="1" w:styleId="16">
    <w:name w:val="样式1"/>
    <w:basedOn w:val="8"/>
    <w:qFormat/>
    <w:uiPriority w:val="1"/>
    <w:rPr>
      <w:rFonts w:eastAsiaTheme="minorEastAsia"/>
      <w:sz w:val="21"/>
    </w:rPr>
  </w:style>
  <w:style w:type="character" w:customStyle="1" w:styleId="17">
    <w:name w:val="标题 3 Char"/>
    <w:basedOn w:val="8"/>
    <w:link w:val="2"/>
    <w:semiHidden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glossaryDocument" Target="glossary/document.xml"/><Relationship Id="rId12" Type="http://schemas.openxmlformats.org/officeDocument/2006/relationships/fontTable" Target="fontTable.xml"/><Relationship Id="rId11" Type="http://schemas.openxmlformats.org/officeDocument/2006/relationships/image" Target="media/image4.e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555627DD1B4C413FAE32D397E6B8593C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10110CC-EF99-4D3E-B30F-FE63DF9F1B42}"/>
      </w:docPartPr>
      <w:docPartBody>
        <w:p w14:paraId="2B948C07">
          <w:pPr>
            <w:pStyle w:val="5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103B23440984468FB902E6FA0351B195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9F8B4A0-C2F7-42B0-ACC7-3CD4F5758D0A}"/>
      </w:docPartPr>
      <w:docPartBody>
        <w:p w14:paraId="6BDAA4A6">
          <w:pPr>
            <w:pStyle w:val="6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600E1B95A71449BEB639C380EAE2BA32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7CBFDFD-8C40-4174-A85C-32D215F0AFCB}"/>
      </w:docPartPr>
      <w:docPartBody>
        <w:p w14:paraId="77192A0A">
          <w:pPr>
            <w:pStyle w:val="7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1AEE0C5F36F14BFC9237F0B6C63AD189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692F47E-7B02-4E9B-B7D5-5481F331B1F7}"/>
      </w:docPartPr>
      <w:docPartBody>
        <w:p w14:paraId="698F0663">
          <w:pPr>
            <w:pStyle w:val="8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F344E3F6A35D4CC295CECA6113543DD5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2792081-98DD-4B88-A9AA-A9353D2BF492}"/>
      </w:docPartPr>
      <w:docPartBody>
        <w:p w14:paraId="17B59FC7">
          <w:pPr>
            <w:pStyle w:val="9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8AE1FD239983419A9F0BB6B2641286C5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F569025-F901-4F55-B891-B5CC5CC0FD95}"/>
      </w:docPartPr>
      <w:docPartBody>
        <w:p w14:paraId="62C3EEBC">
          <w:pPr>
            <w:pStyle w:val="10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EDC73FCBC3174D719952F332A066B05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921BAD8-A448-4F97-8069-91F29B10B967}"/>
      </w:docPartPr>
      <w:docPartBody>
        <w:p w14:paraId="3C39D877">
          <w:pPr>
            <w:pStyle w:val="11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BDD65411D67B4E92828B3387F00AD317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91ECA87-976B-4EB0-AEDF-DFCDE6F6B196}"/>
      </w:docPartPr>
      <w:docPartBody>
        <w:p w14:paraId="103B2CFD">
          <w:pPr>
            <w:pStyle w:val="12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9155921A634D41048B890F0F7A94994B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F4A9ED3-BEA2-45BB-B3DD-BD8AB6A3A472}"/>
      </w:docPartPr>
      <w:docPartBody>
        <w:p w14:paraId="0A411557">
          <w:pPr>
            <w:pStyle w:val="13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611D3DE11C91406CAD8FE8CC2B8D6762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F2B5B50-71DD-4C64-8869-FE4CC6105532}"/>
      </w:docPartPr>
      <w:docPartBody>
        <w:p w14:paraId="4D0F7578">
          <w:pPr>
            <w:pStyle w:val="14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FF9"/>
    <w:rsid w:val="00883EF0"/>
    <w:rsid w:val="0090350E"/>
    <w:rsid w:val="00B70B08"/>
    <w:rsid w:val="00C92FF9"/>
    <w:rsid w:val="00FF7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uiPriority="99" w:name="Normal Table"/>
    <w:lsdException w:unhideWhenUsed="0" w:uiPriority="99" w:name="Placeholder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semiHidden/>
    <w:uiPriority w:val="99"/>
    <w:rPr>
      <w:color w:val="808080"/>
    </w:rPr>
  </w:style>
  <w:style w:type="paragraph" w:customStyle="1" w:styleId="5">
    <w:name w:val="555627DD1B4C413FAE32D397E6B8593C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103B23440984468FB902E6FA0351B195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600E1B95A71449BEB639C380EAE2BA32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1AEE0C5F36F14BFC9237F0B6C63AD18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F344E3F6A35D4CC295CECA6113543DD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8AE1FD239983419A9F0BB6B2641286C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EDC73FCBC3174D719952F332A066B05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BDD65411D67B4E92828B3387F00AD31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9155921A634D41048B890F0F7A94994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611D3DE11C91406CAD8FE8CC2B8D676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3F09257C220D4DC7BAB953A8CDCF7F4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269</Words>
  <Characters>295</Characters>
  <Lines>3</Lines>
  <Paragraphs>1</Paragraphs>
  <TotalTime>0</TotalTime>
  <ScaleCrop>false</ScaleCrop>
  <LinksUpToDate>false</LinksUpToDate>
  <CharactersWithSpaces>354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2019-07-12T08:08:00Z</dcterms:created>
  <dc:creator>dongYP</dc:creator>
  <cp:lastModifiedBy>Gambler</cp:lastModifiedBy>
  <dcterms:modified xsi:type="dcterms:W3CDTF">2025-03-12T14:26:07Z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eyJoZGlkIjoiOGNhZDQ4NGE4Nzg3MGIxNzk0NTJkMGM1YzczN2E5ZTAiLCJ1c2VySWQiOiI0MjUwNDcxMTEifQ==</vt:lpwstr>
  </property>
  <property fmtid="{D5CDD505-2E9C-101B-9397-08002B2CF9AE}" pid="3" name="KSOProductBuildVer">
    <vt:lpwstr>2052-12.1.0.20305</vt:lpwstr>
  </property>
  <property fmtid="{D5CDD505-2E9C-101B-9397-08002B2CF9AE}" pid="4" name="ICV">
    <vt:lpwstr>51D895259C4B4F60B10881134D1DEA51_12</vt:lpwstr>
  </property>
</Properties>
</file>