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fontTable.xml" ContentType="application/vnd.openxmlformats-officedocument.wordprocessingml.fontTable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D7B0AAA">
      <w:pPr>
        <w:pStyle w:val="3"/>
        <w:rPr>
          <w:sz w:val="24"/>
          <w:szCs w:val="40"/>
        </w:rPr>
      </w:pPr>
      <w:r>
        <w:rPr>
          <w:rFonts w:hint="eastAsia"/>
          <w:sz w:val="24"/>
          <w:szCs w:val="40"/>
        </w:rPr>
        <w:t>8.2.6 场地内的环境噪声优于现行国家标准《声环境质量标准》GB 3096的要求。（10分）</w:t>
      </w:r>
    </w:p>
    <w:p w14:paraId="7099EDF0">
      <w:pPr>
        <w:rPr>
          <w:rFonts w:ascii="Times New Roman" w:hAnsi="Times New Roman" w:eastAsia="宋体" w:cs="Times New Roman"/>
          <w:b/>
          <w:szCs w:val="21"/>
        </w:rPr>
      </w:pPr>
      <w:r>
        <w:rPr>
          <w:rFonts w:hint="eastAsia" w:ascii="Times New Roman" w:hAnsi="Times New Roman" w:eastAsia="宋体" w:cs="Times New Roman"/>
          <w:b/>
          <w:szCs w:val="21"/>
        </w:rPr>
        <w:t xml:space="preserve">1 </w:t>
      </w:r>
      <w:r>
        <w:rPr>
          <w:rFonts w:ascii="Times New Roman" w:hAnsi="Times New Roman" w:eastAsia="宋体" w:cs="Times New Roman"/>
          <w:b/>
          <w:szCs w:val="21"/>
        </w:rPr>
        <w:t>得分自评</w:t>
      </w:r>
    </w:p>
    <w:tbl>
      <w:tblPr>
        <w:tblStyle w:val="6"/>
        <w:tblW w:w="921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0"/>
        <w:gridCol w:w="5103"/>
        <w:gridCol w:w="1701"/>
        <w:gridCol w:w="1628"/>
      </w:tblGrid>
      <w:tr w14:paraId="3C7A93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  <w:jc w:val="center"/>
        </w:trPr>
        <w:tc>
          <w:tcPr>
            <w:tcW w:w="780" w:type="dxa"/>
            <w:vAlign w:val="center"/>
          </w:tcPr>
          <w:p w14:paraId="38C77B87">
            <w:pPr>
              <w:jc w:val="center"/>
              <w:rPr>
                <w:rFonts w:ascii="Times New Roman" w:hAnsi="Times New Roman" w:cs="Times New Roman"/>
                <w:lang w:val="zh-CN"/>
              </w:rPr>
            </w:pPr>
            <w:r>
              <w:rPr>
                <w:rFonts w:ascii="Times New Roman" w:hAnsi="Times New Roman" w:cs="Times New Roman"/>
                <w:lang w:val="zh-CN"/>
              </w:rPr>
              <w:t>序号</w:t>
            </w:r>
          </w:p>
        </w:tc>
        <w:tc>
          <w:tcPr>
            <w:tcW w:w="5103" w:type="dxa"/>
            <w:vAlign w:val="center"/>
          </w:tcPr>
          <w:p w14:paraId="26DCB676">
            <w:pPr>
              <w:jc w:val="center"/>
              <w:rPr>
                <w:rFonts w:ascii="Times New Roman" w:hAnsi="Times New Roman" w:cs="Times New Roman"/>
                <w:lang w:val="zh-CN"/>
              </w:rPr>
            </w:pPr>
            <w:r>
              <w:rPr>
                <w:rFonts w:ascii="Times New Roman" w:hAnsi="Times New Roman" w:cs="Times New Roman"/>
                <w:lang w:val="zh-CN"/>
              </w:rPr>
              <w:t>评价内容</w:t>
            </w:r>
          </w:p>
        </w:tc>
        <w:tc>
          <w:tcPr>
            <w:tcW w:w="1701" w:type="dxa"/>
            <w:vAlign w:val="center"/>
          </w:tcPr>
          <w:p w14:paraId="4B4D37B9">
            <w:pPr>
              <w:jc w:val="center"/>
              <w:rPr>
                <w:rFonts w:ascii="Times New Roman" w:hAnsi="Times New Roman" w:cs="Times New Roman"/>
                <w:lang w:val="zh-CN"/>
              </w:rPr>
            </w:pPr>
            <w:r>
              <w:rPr>
                <w:rFonts w:ascii="Times New Roman" w:hAnsi="Times New Roman" w:cs="Times New Roman"/>
                <w:lang w:val="zh-CN"/>
              </w:rPr>
              <w:t>评价分值</w:t>
            </w:r>
          </w:p>
        </w:tc>
        <w:tc>
          <w:tcPr>
            <w:tcW w:w="1628" w:type="dxa"/>
            <w:vAlign w:val="center"/>
          </w:tcPr>
          <w:p w14:paraId="3ACC6558">
            <w:pPr>
              <w:jc w:val="center"/>
              <w:rPr>
                <w:rFonts w:ascii="Times New Roman" w:hAnsi="Times New Roman" w:cs="Times New Roman"/>
                <w:lang w:val="zh-CN"/>
              </w:rPr>
            </w:pPr>
            <w:r>
              <w:rPr>
                <w:rFonts w:ascii="Times New Roman" w:hAnsi="Times New Roman" w:cs="Times New Roman"/>
                <w:lang w:val="zh-CN"/>
              </w:rPr>
              <w:t>自评得分</w:t>
            </w:r>
          </w:p>
        </w:tc>
      </w:tr>
      <w:tr w14:paraId="1195A2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80" w:type="dxa"/>
            <w:vAlign w:val="center"/>
          </w:tcPr>
          <w:p w14:paraId="6108DEE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103" w:type="dxa"/>
            <w:vAlign w:val="center"/>
          </w:tcPr>
          <w:p w14:paraId="1ED62CE7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2类声环境功能区标准限值＜环境噪声值≤3类声环境功能区标准限值</w:t>
            </w:r>
          </w:p>
        </w:tc>
        <w:tc>
          <w:tcPr>
            <w:tcW w:w="1701" w:type="dxa"/>
            <w:vAlign w:val="center"/>
          </w:tcPr>
          <w:p w14:paraId="206B5A52">
            <w:pPr>
              <w:jc w:val="center"/>
              <w:rPr>
                <w:rFonts w:ascii="Times New Roman" w:hAnsi="Times New Roman" w:cs="Times New Roman"/>
                <w:lang w:val="zh-CN"/>
              </w:rPr>
            </w:pPr>
            <w:r>
              <w:rPr>
                <w:rFonts w:ascii="Times New Roman" w:hAnsi="Times New Roman" w:cs="Times New Roman"/>
                <w:lang w:val="zh-CN"/>
              </w:rPr>
              <w:t>5</w:t>
            </w:r>
          </w:p>
        </w:tc>
        <w:sdt>
          <w:sdtPr>
            <w:rPr>
              <w:rFonts w:hint="eastAsia" w:ascii="Times New Roman" w:hAnsi="Times New Roman" w:eastAsia="宋体" w:cs="Times New Roman"/>
              <w:szCs w:val="21"/>
            </w:rPr>
            <w:id w:val="-100719050"/>
            <w:placeholder>
              <w:docPart w:val="474A60ABC0774105A725E94FC305A2DD"/>
            </w:placeholder>
            <w:text/>
          </w:sdtPr>
          <w:sdtEndPr>
            <w:rPr>
              <w:rFonts w:hint="eastAsia" w:ascii="Times New Roman" w:hAnsi="Times New Roman" w:eastAsia="宋体" w:cs="Times New Roman"/>
              <w:szCs w:val="21"/>
            </w:rPr>
          </w:sdtEndPr>
          <w:sdtContent>
            <w:tc>
              <w:tcPr>
                <w:tcW w:w="1628" w:type="dxa"/>
                <w:vMerge w:val="restart"/>
                <w:vAlign w:val="center"/>
              </w:tcPr>
              <w:p w14:paraId="0CD453CB">
                <w:pPr>
                  <w:jc w:val="center"/>
                  <w:rPr>
                    <w:rFonts w:ascii="Times New Roman" w:hAnsi="Times New Roman" w:cs="Times New Roman"/>
                    <w:lang w:val="zh-CN"/>
                  </w:rPr>
                </w:pPr>
                <w:r>
                  <w:rPr>
                    <w:rFonts w:hint="eastAsia" w:ascii="Times New Roman" w:hAnsi="Times New Roman" w:eastAsia="宋体" w:cs="Times New Roman"/>
                    <w:szCs w:val="21"/>
                    <w:lang w:val="en-US" w:eastAsia="zh-CN"/>
                  </w:rPr>
                  <w:t>5</w:t>
                </w:r>
                <w:r>
                  <w:rPr>
                    <w:rFonts w:hint="eastAsia" w:ascii="Times New Roman" w:hAnsi="Times New Roman" w:eastAsia="宋体" w:cs="Times New Roman"/>
                    <w:szCs w:val="21"/>
                  </w:rPr>
                  <w:t xml:space="preserve">  </w:t>
                </w:r>
              </w:p>
            </w:tc>
          </w:sdtContent>
        </w:sdt>
      </w:tr>
      <w:tr w14:paraId="079059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80" w:type="dxa"/>
            <w:vAlign w:val="center"/>
          </w:tcPr>
          <w:p w14:paraId="3773009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103" w:type="dxa"/>
            <w:vAlign w:val="center"/>
          </w:tcPr>
          <w:p w14:paraId="6FD0DA56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环境噪声值≤2类声环境功能区标准限值</w:t>
            </w:r>
          </w:p>
        </w:tc>
        <w:tc>
          <w:tcPr>
            <w:tcW w:w="1701" w:type="dxa"/>
            <w:vAlign w:val="center"/>
          </w:tcPr>
          <w:p w14:paraId="6A717C79">
            <w:pPr>
              <w:jc w:val="center"/>
              <w:rPr>
                <w:rFonts w:ascii="Times New Roman" w:hAnsi="Times New Roman" w:cs="Times New Roman"/>
                <w:lang w:val="zh-CN"/>
              </w:rPr>
            </w:pPr>
            <w:r>
              <w:rPr>
                <w:rFonts w:ascii="Times New Roman" w:hAnsi="Times New Roman" w:cs="Times New Roman"/>
                <w:lang w:val="zh-CN"/>
              </w:rPr>
              <w:t>10</w:t>
            </w:r>
          </w:p>
        </w:tc>
        <w:tc>
          <w:tcPr>
            <w:tcW w:w="1628" w:type="dxa"/>
            <w:vMerge w:val="continue"/>
            <w:vAlign w:val="center"/>
          </w:tcPr>
          <w:p w14:paraId="4DD7BC28">
            <w:pPr>
              <w:jc w:val="center"/>
              <w:rPr>
                <w:rFonts w:ascii="Times New Roman" w:hAnsi="Times New Roman" w:cs="Times New Roman"/>
                <w:lang w:val="zh-CN"/>
              </w:rPr>
            </w:pPr>
          </w:p>
        </w:tc>
      </w:tr>
      <w:tr w14:paraId="611BA1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5883" w:type="dxa"/>
            <w:gridSpan w:val="2"/>
            <w:vAlign w:val="center"/>
          </w:tcPr>
          <w:p w14:paraId="722DF34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合计</w:t>
            </w:r>
          </w:p>
        </w:tc>
        <w:tc>
          <w:tcPr>
            <w:tcW w:w="1701" w:type="dxa"/>
            <w:vAlign w:val="center"/>
          </w:tcPr>
          <w:p w14:paraId="697162D4">
            <w:pPr>
              <w:jc w:val="center"/>
              <w:rPr>
                <w:rFonts w:ascii="Times New Roman" w:hAnsi="Times New Roman" w:cs="Times New Roman"/>
                <w:lang w:val="zh-CN"/>
              </w:rPr>
            </w:pPr>
            <w:r>
              <w:rPr>
                <w:rFonts w:ascii="Times New Roman" w:hAnsi="Times New Roman" w:cs="Times New Roman"/>
                <w:lang w:val="zh-CN"/>
              </w:rPr>
              <w:t>10</w:t>
            </w:r>
          </w:p>
        </w:tc>
        <w:sdt>
          <w:sdtPr>
            <w:rPr>
              <w:rFonts w:hint="eastAsia" w:ascii="Times New Roman" w:hAnsi="Times New Roman" w:eastAsia="宋体" w:cs="Times New Roman"/>
              <w:szCs w:val="21"/>
            </w:rPr>
            <w:id w:val="-188449142"/>
            <w:placeholder>
              <w:docPart w:val="62758D5B5AFB498298A81B9AB38B6DA4"/>
            </w:placeholder>
            <w:text/>
          </w:sdtPr>
          <w:sdtEndPr>
            <w:rPr>
              <w:rFonts w:hint="eastAsia" w:ascii="Times New Roman" w:hAnsi="Times New Roman" w:eastAsia="宋体" w:cs="Times New Roman"/>
              <w:szCs w:val="21"/>
            </w:rPr>
          </w:sdtEndPr>
          <w:sdtContent>
            <w:tc>
              <w:tcPr>
                <w:tcW w:w="1628" w:type="dxa"/>
                <w:vAlign w:val="center"/>
              </w:tcPr>
              <w:p w14:paraId="7DCDE0E0">
                <w:pPr>
                  <w:jc w:val="center"/>
                  <w:rPr>
                    <w:rFonts w:ascii="Times New Roman" w:hAnsi="Times New Roman" w:cs="Times New Roman"/>
                    <w:lang w:val="zh-CN"/>
                  </w:rPr>
                </w:pPr>
                <w:r>
                  <w:rPr>
                    <w:rFonts w:hint="eastAsia" w:ascii="Times New Roman" w:hAnsi="Times New Roman" w:eastAsia="宋体" w:cs="Times New Roman"/>
                    <w:szCs w:val="21"/>
                    <w:lang w:val="en-US" w:eastAsia="zh-CN"/>
                  </w:rPr>
                  <w:t>5</w:t>
                </w:r>
                <w:r>
                  <w:rPr>
                    <w:rFonts w:hint="eastAsia" w:ascii="Times New Roman" w:hAnsi="Times New Roman" w:eastAsia="宋体" w:cs="Times New Roman"/>
                    <w:szCs w:val="21"/>
                  </w:rPr>
                  <w:t xml:space="preserve">  </w:t>
                </w:r>
              </w:p>
            </w:tc>
          </w:sdtContent>
        </w:sdt>
      </w:tr>
    </w:tbl>
    <w:p w14:paraId="358A386F">
      <w:pPr>
        <w:rPr>
          <w:rFonts w:ascii="Times New Roman" w:hAnsi="Times New Roman" w:eastAsia="宋体" w:cs="Times New Roman"/>
          <w:b/>
          <w:szCs w:val="21"/>
        </w:rPr>
      </w:pPr>
      <w:r>
        <w:rPr>
          <w:rFonts w:ascii="Times New Roman" w:hAnsi="Times New Roman" w:eastAsia="宋体" w:cs="Times New Roman"/>
          <w:b/>
          <w:szCs w:val="21"/>
        </w:rPr>
        <w:t>2 评价要点</w:t>
      </w:r>
    </w:p>
    <w:p w14:paraId="15C3DF69">
      <w:pPr>
        <w:rPr>
          <w:lang w:val="zh-CN"/>
        </w:rPr>
      </w:pPr>
      <w:r>
        <w:rPr>
          <w:rFonts w:hint="eastAsia"/>
          <w:lang w:val="zh-CN"/>
        </w:rPr>
        <w:t>场地位于《声环境质量标准》GB3096中</w:t>
      </w:r>
      <w:sdt>
        <w:sdtPr>
          <w:rPr>
            <w:u w:val="single"/>
          </w:rPr>
          <w:id w:val="-1654213490"/>
        </w:sdtPr>
        <w:sdtEndPr>
          <w:rPr>
            <w:u w:val="single"/>
          </w:rPr>
        </w:sdtEndPr>
        <w:sdtContent>
          <w:r>
            <w:rPr>
              <w:rFonts w:hint="eastAsia"/>
              <w:u w:val="single"/>
            </w:rPr>
            <w:t xml:space="preserve"> </w:t>
          </w:r>
          <w:r>
            <w:rPr>
              <w:u w:val="single"/>
            </w:rPr>
            <w:t xml:space="preserve"> </w:t>
          </w:r>
          <w:r>
            <w:rPr>
              <w:rFonts w:hint="eastAsia"/>
              <w:u w:val="single"/>
              <w:lang w:val="en-US" w:eastAsia="zh-CN"/>
            </w:rPr>
            <w:t>2</w:t>
          </w:r>
          <w:r>
            <w:rPr>
              <w:rFonts w:hint="eastAsia"/>
              <w:u w:val="single"/>
            </w:rPr>
            <w:t xml:space="preserve">    </w:t>
          </w:r>
        </w:sdtContent>
      </w:sdt>
      <w:r>
        <w:rPr>
          <w:rFonts w:hint="eastAsia"/>
          <w:lang w:val="zh-CN"/>
        </w:rPr>
        <w:t>类型</w:t>
      </w:r>
    </w:p>
    <w:p w14:paraId="5ED15D4A">
      <w:pPr>
        <w:rPr>
          <w:lang w:val="zh-CN"/>
        </w:rPr>
      </w:pPr>
      <w:r>
        <w:rPr>
          <w:rFonts w:hint="eastAsia"/>
          <w:lang w:val="zh-CN"/>
        </w:rPr>
        <w:t>环境噪声检测情况</w:t>
      </w:r>
    </w:p>
    <w:tbl>
      <w:tblPr>
        <w:tblStyle w:val="7"/>
        <w:tblW w:w="8278" w:type="dxa"/>
        <w:tblInd w:w="0" w:type="dxa"/>
        <w:tblBorders>
          <w:top w:val="single" w:color="000000" w:themeColor="text1" w:sz="12" w:space="0"/>
          <w:left w:val="single" w:color="000000" w:themeColor="text1" w:sz="12" w:space="0"/>
          <w:bottom w:val="single" w:color="000000" w:themeColor="text1" w:sz="12" w:space="0"/>
          <w:right w:val="single" w:color="000000" w:themeColor="text1" w:sz="12" w:space="0"/>
          <w:insideH w:val="single" w:color="000000" w:themeColor="text1" w:sz="6" w:space="0"/>
          <w:insideV w:val="single" w:color="000000" w:themeColor="text1" w:sz="6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55"/>
        <w:gridCol w:w="1655"/>
        <w:gridCol w:w="1655"/>
        <w:gridCol w:w="1656"/>
        <w:gridCol w:w="1657"/>
      </w:tblGrid>
      <w:tr w14:paraId="07EF1DC5">
        <w:tblPrEx>
          <w:tblBorders>
            <w:top w:val="single" w:color="000000" w:themeColor="text1" w:sz="12" w:space="0"/>
            <w:left w:val="single" w:color="000000" w:themeColor="text1" w:sz="12" w:space="0"/>
            <w:bottom w:val="single" w:color="000000" w:themeColor="text1" w:sz="12" w:space="0"/>
            <w:right w:val="single" w:color="000000" w:themeColor="text1" w:sz="12" w:space="0"/>
            <w:insideH w:val="single" w:color="000000" w:themeColor="text1" w:sz="6" w:space="0"/>
            <w:insideV w:val="single" w:color="000000" w:themeColor="text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59" w:type="dxa"/>
            <w:tcBorders>
              <w:top w:val="single" w:color="000000" w:themeColor="text1" w:sz="12" w:space="0"/>
              <w:bottom w:val="single" w:color="000000" w:themeColor="text1" w:sz="6" w:space="0"/>
            </w:tcBorders>
            <w:shd w:val="clear" w:color="auto" w:fill="F1F1F1" w:themeFill="background1" w:themeFillShade="F2"/>
          </w:tcPr>
          <w:p w14:paraId="78B7F86B">
            <w:pPr>
              <w:jc w:val="center"/>
            </w:pPr>
            <w:r>
              <w:rPr>
                <w:rFonts w:hint="eastAsia"/>
              </w:rPr>
              <w:t>时段</w:t>
            </w:r>
          </w:p>
        </w:tc>
        <w:tc>
          <w:tcPr>
            <w:tcW w:w="1659" w:type="dxa"/>
            <w:tcBorders>
              <w:top w:val="single" w:color="000000" w:themeColor="text1" w:sz="12" w:space="0"/>
              <w:bottom w:val="single" w:color="000000" w:themeColor="text1" w:sz="6" w:space="0"/>
            </w:tcBorders>
            <w:shd w:val="clear" w:color="auto" w:fill="F1F1F1" w:themeFill="background1" w:themeFillShade="F2"/>
          </w:tcPr>
          <w:p w14:paraId="4A27BF1F">
            <w:pPr>
              <w:jc w:val="center"/>
            </w:pPr>
            <w:r>
              <w:rPr>
                <w:rFonts w:hint="eastAsia"/>
              </w:rPr>
              <w:t>噪声最大值</w:t>
            </w:r>
          </w:p>
        </w:tc>
        <w:tc>
          <w:tcPr>
            <w:tcW w:w="1659" w:type="dxa"/>
            <w:tcBorders>
              <w:top w:val="single" w:color="000000" w:themeColor="text1" w:sz="12" w:space="0"/>
              <w:bottom w:val="single" w:color="000000" w:themeColor="text1" w:sz="6" w:space="0"/>
            </w:tcBorders>
            <w:shd w:val="clear" w:color="auto" w:fill="F1F1F1" w:themeFill="background1" w:themeFillShade="F2"/>
          </w:tcPr>
          <w:p w14:paraId="2E00CD4E">
            <w:pPr>
              <w:jc w:val="center"/>
            </w:pPr>
            <w:r>
              <w:t>2</w:t>
            </w:r>
            <w:r>
              <w:rPr>
                <w:rFonts w:hint="eastAsia"/>
              </w:rPr>
              <w:t>类噪声限值</w:t>
            </w:r>
          </w:p>
        </w:tc>
        <w:tc>
          <w:tcPr>
            <w:tcW w:w="1659" w:type="dxa"/>
            <w:tcBorders>
              <w:top w:val="single" w:color="000000" w:themeColor="text1" w:sz="12" w:space="0"/>
              <w:bottom w:val="single" w:color="000000" w:themeColor="text1" w:sz="6" w:space="0"/>
            </w:tcBorders>
            <w:shd w:val="clear" w:color="auto" w:fill="F1F1F1" w:themeFill="background1" w:themeFillShade="F2"/>
          </w:tcPr>
          <w:p w14:paraId="619C9807">
            <w:pPr>
              <w:jc w:val="center"/>
            </w:pPr>
            <w:r>
              <w:t>3</w:t>
            </w:r>
            <w:r>
              <w:rPr>
                <w:rFonts w:hint="eastAsia"/>
              </w:rPr>
              <w:t>类噪声限值</w:t>
            </w:r>
          </w:p>
        </w:tc>
        <w:tc>
          <w:tcPr>
            <w:tcW w:w="1660" w:type="dxa"/>
            <w:tcBorders>
              <w:top w:val="single" w:color="000000" w:themeColor="text1" w:sz="12" w:space="0"/>
              <w:bottom w:val="single" w:color="000000" w:themeColor="text1" w:sz="6" w:space="0"/>
            </w:tcBorders>
            <w:shd w:val="clear" w:color="auto" w:fill="F1F1F1" w:themeFill="background1" w:themeFillShade="F2"/>
          </w:tcPr>
          <w:p w14:paraId="7268665E">
            <w:pPr>
              <w:jc w:val="center"/>
            </w:pPr>
            <w:r>
              <w:rPr>
                <w:rFonts w:hint="eastAsia"/>
              </w:rPr>
              <w:t>得分情况</w:t>
            </w:r>
          </w:p>
        </w:tc>
      </w:tr>
      <w:tr w14:paraId="1CF6B07D">
        <w:tblPrEx>
          <w:tblBorders>
            <w:top w:val="single" w:color="000000" w:themeColor="text1" w:sz="12" w:space="0"/>
            <w:left w:val="single" w:color="000000" w:themeColor="text1" w:sz="12" w:space="0"/>
            <w:bottom w:val="single" w:color="000000" w:themeColor="text1" w:sz="12" w:space="0"/>
            <w:right w:val="single" w:color="000000" w:themeColor="text1" w:sz="12" w:space="0"/>
            <w:insideH w:val="single" w:color="000000" w:themeColor="text1" w:sz="6" w:space="0"/>
            <w:insideV w:val="single" w:color="000000" w:themeColor="text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59" w:type="dxa"/>
            <w:tcBorders>
              <w:top w:val="single" w:color="000000" w:themeColor="text1" w:sz="6" w:space="0"/>
            </w:tcBorders>
          </w:tcPr>
          <w:p w14:paraId="3ECCF0E1">
            <w:pPr>
              <w:jc w:val="center"/>
            </w:pPr>
            <w:r>
              <w:rPr>
                <w:rFonts w:hint="eastAsia"/>
              </w:rPr>
              <w:t>昼间</w:t>
            </w:r>
          </w:p>
        </w:tc>
        <w:tc>
          <w:tcPr>
            <w:tcW w:w="1659" w:type="dxa"/>
            <w:tcBorders>
              <w:top w:val="single" w:color="000000" w:themeColor="text1" w:sz="6" w:space="0"/>
            </w:tcBorders>
          </w:tcPr>
          <w:p w14:paraId="01DFD58A">
            <w:pPr>
              <w:jc w:val="center"/>
              <w:rPr>
                <w:b/>
              </w:rPr>
            </w:pPr>
            <w:bookmarkStart w:id="0" w:name="昼间噪声最大值"/>
            <w:r>
              <w:rPr>
                <w:b/>
              </w:rPr>
              <w:t>53</w:t>
            </w:r>
            <w:bookmarkEnd w:id="0"/>
          </w:p>
        </w:tc>
        <w:tc>
          <w:tcPr>
            <w:tcW w:w="1659" w:type="dxa"/>
            <w:tcBorders>
              <w:top w:val="single" w:color="000000" w:themeColor="text1" w:sz="6" w:space="0"/>
            </w:tcBorders>
          </w:tcPr>
          <w:p w14:paraId="12F07FC2">
            <w:pPr>
              <w:jc w:val="center"/>
            </w:pPr>
            <w:r>
              <w:rPr>
                <w:bCs/>
              </w:rPr>
              <w:t>60</w:t>
            </w:r>
          </w:p>
        </w:tc>
        <w:tc>
          <w:tcPr>
            <w:tcW w:w="1659" w:type="dxa"/>
            <w:tcBorders>
              <w:top w:val="single" w:color="000000" w:themeColor="text1" w:sz="6" w:space="0"/>
            </w:tcBorders>
          </w:tcPr>
          <w:p w14:paraId="0C15822C">
            <w:pPr>
              <w:jc w:val="center"/>
            </w:pPr>
            <w:r>
              <w:rPr>
                <w:bCs/>
              </w:rPr>
              <w:t>65</w:t>
            </w:r>
          </w:p>
        </w:tc>
        <w:tc>
          <w:tcPr>
            <w:tcW w:w="1660" w:type="dxa"/>
            <w:vMerge w:val="restart"/>
            <w:tcBorders>
              <w:top w:val="single" w:color="000000" w:themeColor="text1" w:sz="6" w:space="0"/>
            </w:tcBorders>
            <w:vAlign w:val="center"/>
          </w:tcPr>
          <w:p w14:paraId="1E18EB49">
            <w:pPr>
              <w:jc w:val="center"/>
              <w:rPr>
                <w:b/>
                <w:bCs/>
              </w:rPr>
            </w:pPr>
            <w:bookmarkStart w:id="1" w:name="得分情况"/>
            <w:r>
              <w:rPr>
                <w:b/>
                <w:bCs/>
              </w:rPr>
              <w:t>10</w:t>
            </w:r>
            <w:bookmarkEnd w:id="1"/>
            <w:r>
              <w:rPr>
                <w:rFonts w:hint="eastAsia"/>
                <w:b/>
                <w:bCs/>
              </w:rPr>
              <w:t>分</w:t>
            </w:r>
          </w:p>
        </w:tc>
      </w:tr>
      <w:tr w14:paraId="54CF9392">
        <w:tblPrEx>
          <w:tblBorders>
            <w:top w:val="single" w:color="000000" w:themeColor="text1" w:sz="12" w:space="0"/>
            <w:left w:val="single" w:color="000000" w:themeColor="text1" w:sz="12" w:space="0"/>
            <w:bottom w:val="single" w:color="000000" w:themeColor="text1" w:sz="12" w:space="0"/>
            <w:right w:val="single" w:color="000000" w:themeColor="text1" w:sz="12" w:space="0"/>
            <w:insideH w:val="single" w:color="000000" w:themeColor="text1" w:sz="6" w:space="0"/>
            <w:insideV w:val="single" w:color="000000" w:themeColor="text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59" w:type="dxa"/>
          </w:tcPr>
          <w:p w14:paraId="61D33CEF">
            <w:pPr>
              <w:jc w:val="center"/>
            </w:pPr>
            <w:r>
              <w:rPr>
                <w:rFonts w:hint="eastAsia"/>
              </w:rPr>
              <w:t>夜间</w:t>
            </w:r>
          </w:p>
        </w:tc>
        <w:tc>
          <w:tcPr>
            <w:tcW w:w="1659" w:type="dxa"/>
          </w:tcPr>
          <w:p w14:paraId="20F1DBB8">
            <w:pPr>
              <w:jc w:val="center"/>
              <w:rPr>
                <w:b/>
              </w:rPr>
            </w:pPr>
            <w:bookmarkStart w:id="2" w:name="夜间噪声最大值"/>
            <w:r>
              <w:rPr>
                <w:b/>
              </w:rPr>
              <w:t>47</w:t>
            </w:r>
            <w:bookmarkEnd w:id="2"/>
          </w:p>
        </w:tc>
        <w:tc>
          <w:tcPr>
            <w:tcW w:w="1659" w:type="dxa"/>
          </w:tcPr>
          <w:p w14:paraId="75851550">
            <w:pPr>
              <w:jc w:val="center"/>
              <w:rPr>
                <w:b/>
              </w:rPr>
            </w:pPr>
            <w:r>
              <w:rPr>
                <w:bCs/>
              </w:rPr>
              <w:t>50</w:t>
            </w:r>
          </w:p>
        </w:tc>
        <w:tc>
          <w:tcPr>
            <w:tcW w:w="1659" w:type="dxa"/>
          </w:tcPr>
          <w:p w14:paraId="4DFE9339">
            <w:pPr>
              <w:jc w:val="center"/>
              <w:rPr>
                <w:b/>
              </w:rPr>
            </w:pPr>
            <w:r>
              <w:rPr>
                <w:bCs/>
              </w:rPr>
              <w:t>55</w:t>
            </w:r>
          </w:p>
        </w:tc>
        <w:tc>
          <w:tcPr>
            <w:tcW w:w="1660" w:type="dxa"/>
            <w:vMerge w:val="continue"/>
          </w:tcPr>
          <w:p w14:paraId="41526D60">
            <w:pPr>
              <w:jc w:val="center"/>
              <w:rPr>
                <w:b/>
              </w:rPr>
            </w:pPr>
          </w:p>
        </w:tc>
      </w:tr>
    </w:tbl>
    <w:p w14:paraId="54ED298B">
      <w:pPr>
        <w:spacing w:line="276" w:lineRule="auto"/>
        <w:ind w:firstLine="420" w:firstLineChars="200"/>
        <w:rPr>
          <w:rFonts w:ascii="Times New Roman" w:hAnsi="Times New Roman"/>
          <w:szCs w:val="21"/>
        </w:rPr>
      </w:pPr>
    </w:p>
    <w:p w14:paraId="4059AE4B">
      <w:pPr>
        <w:rPr>
          <w:rFonts w:ascii="Times New Roman" w:hAnsi="Times New Roman" w:eastAsia="宋体" w:cs="Times New Roman"/>
          <w:szCs w:val="21"/>
        </w:rPr>
      </w:pPr>
      <w:r>
        <w:rPr>
          <w:rFonts w:hint="eastAsia"/>
        </w:rPr>
        <w:t>请简要说明建筑场地周边噪声分布状况以及降噪措施。</w:t>
      </w:r>
    </w:p>
    <w:tbl>
      <w:tblPr>
        <w:tblStyle w:val="1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65A445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3" w:hRule="atLeast"/>
          <w:jc w:val="center"/>
        </w:trPr>
        <w:tc>
          <w:tcPr>
            <w:tcW w:w="9356" w:type="dxa"/>
          </w:tcPr>
          <w:p w14:paraId="3B9FCB7E">
            <w:pPr>
              <w:ind w:firstLine="400" w:firstLineChars="200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1"/>
              </w:rPr>
              <w:t>本项目场地噪声主要来源于校区外交通噪声及操场噪声，噪声值满足标准要求。</w:t>
            </w:r>
          </w:p>
          <w:p w14:paraId="79FD4F01">
            <w:pPr>
              <w:ind w:firstLine="400" w:firstLineChars="200"/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  <w:t>本项目噪声主要为地下车库的设备噪声和车辆噪声，要求选用低噪设备，安装减震等措施；同时加强车辆管理，禁止鸣笛，限制车速，经建筑隔声、距离衰减后噪声达标排放。</w:t>
            </w:r>
          </w:p>
        </w:tc>
      </w:tr>
    </w:tbl>
    <w:p w14:paraId="191840E3">
      <w:pPr>
        <w:rPr>
          <w:rFonts w:ascii="Times New Roman" w:hAnsi="Times New Roman" w:eastAsia="宋体" w:cs="Times New Roman"/>
          <w:b/>
          <w:szCs w:val="21"/>
        </w:rPr>
      </w:pPr>
      <w:r>
        <w:rPr>
          <w:rFonts w:ascii="Times New Roman" w:hAnsi="Times New Roman" w:eastAsia="宋体" w:cs="Times New Roman"/>
          <w:b/>
          <w:szCs w:val="21"/>
        </w:rPr>
        <w:t>3 证明材料</w:t>
      </w:r>
    </w:p>
    <w:p w14:paraId="0F3BCBA4">
      <w:pPr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提交材料及要求：</w:t>
      </w:r>
    </w:p>
    <w:p w14:paraId="5E27B2C0">
      <w:pPr>
        <w:ind w:left="210" w:hanging="210" w:hangingChars="100"/>
      </w:pPr>
      <w:r>
        <w:t>1</w:t>
      </w:r>
      <w:r>
        <w:rPr>
          <w:rFonts w:hint="eastAsia"/>
        </w:rPr>
        <w:t>）环评报告书（表），应含有噪声检测及与预测评价或独立的环境噪声影响测试评估报告；</w:t>
      </w:r>
    </w:p>
    <w:p w14:paraId="157683FD">
      <w:pPr>
        <w:ind w:left="210" w:hanging="210" w:hangingChars="100"/>
      </w:pPr>
      <w:r>
        <w:rPr>
          <w:rFonts w:hint="eastAsia"/>
        </w:rPr>
        <w:t>2）场地交通组织说明；降噪竣工图纸，包括道路声屏障、低噪声路面的设计内容；</w:t>
      </w:r>
    </w:p>
    <w:p w14:paraId="3986CBC8">
      <w:pPr>
        <w:ind w:left="210" w:hanging="210" w:hangingChars="100"/>
      </w:pPr>
      <w:r>
        <w:rPr>
          <w:rFonts w:hint="eastAsia"/>
        </w:rPr>
        <w:t>3）规划总平面图、景观园林总平面图；</w:t>
      </w:r>
    </w:p>
    <w:p w14:paraId="565BEBA1">
      <w:pPr>
        <w:ind w:left="210" w:hanging="210" w:hangingChars="100"/>
      </w:pPr>
      <w:r>
        <w:rPr>
          <w:rFonts w:hint="eastAsia"/>
        </w:rPr>
        <w:t>4）场地环境噪声检测报告及规划验收报告。</w:t>
      </w:r>
    </w:p>
    <w:p w14:paraId="7DA7347A">
      <w:pPr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实际提交材料：</w:t>
      </w:r>
    </w:p>
    <w:tbl>
      <w:tblPr>
        <w:tblStyle w:val="1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691B12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75" w:hRule="atLeast"/>
          <w:jc w:val="center"/>
        </w:trPr>
        <w:tc>
          <w:tcPr>
            <w:tcW w:w="9356" w:type="dxa"/>
          </w:tcPr>
          <w:p w14:paraId="6D9620A7">
            <w:pP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  <w:lang w:eastAsia="zh-CN"/>
              </w:rPr>
              <w:object>
                <v:shape id="_x0000_i1025" o:spt="75" type="#_x0000_t75" style="height:65.5pt;width:72.5pt;" o:ole="t" filled="f" o:preferrelative="t" stroked="f" coordsize="21600,21600">
                  <v:fill on="f" focussize="0,0"/>
                  <v:stroke on="f"/>
                  <v:imagedata r:id="rId5" o:title=""/>
                  <o:lock v:ext="edit" aspectratio="t"/>
                  <w10:wrap type="none"/>
                  <w10:anchorlock/>
                </v:shape>
                <o:OLEObject Type="Embed" ProgID="Word.Document.12" ShapeID="_x0000_i1025" DrawAspect="Icon" ObjectID="_1468075725" r:id="rId4">
                  <o:LockedField>false</o:LockedField>
                </o:OLEObject>
              </w:objec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  <w:lang w:eastAsia="zh-CN"/>
              </w:rPr>
              <w:object>
                <v:shape id="_x0000_i1026" o:spt="75" type="#_x0000_t75" style="height:65.5pt;width:72.5pt;" o:ole="t" filled="f" o:preferrelative="t" stroked="f" coordsize="21600,21600">
                  <v:fill on="f" focussize="0,0"/>
                  <v:stroke on="f"/>
                  <v:imagedata r:id="rId7" o:title=""/>
                  <o:lock v:ext="edit" aspectratio="t"/>
                  <w10:wrap type="none"/>
                  <w10:anchorlock/>
                </v:shape>
                <o:OLEObject Type="Embed" ProgID="Word.Document.12" ShapeID="_x0000_i1026" DrawAspect="Icon" ObjectID="_1468075726" r:id="rId6">
                  <o:LockedField>false</o:LockedField>
                </o:OLEObject>
              </w:objec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  <w:lang w:eastAsia="zh-CN"/>
              </w:rPr>
              <w:object>
                <v:shape id="_x0000_i1027" o:spt="75" type="#_x0000_t75" style="height:65.5pt;width:72.5pt;" o:ole="t" filled="f" o:preferrelative="t" stroked="f" coordsize="21600,21600">
                  <v:fill on="f" focussize="0,0"/>
                  <v:stroke on="f"/>
                  <v:imagedata r:id="rId9" o:title=""/>
                  <o:lock v:ext="edit" aspectratio="t"/>
                  <w10:wrap type="none"/>
                  <w10:anchorlock/>
                </v:shape>
                <o:OLEObject Type="Embed" ProgID="Word.Document.12" ShapeID="_x0000_i1027" DrawAspect="Icon" ObjectID="_1468075727" r:id="rId8">
                  <o:LockedField>false</o:LockedField>
                </o:OLEObject>
              </w:object>
            </w:r>
          </w:p>
        </w:tc>
      </w:tr>
    </w:tbl>
    <w:p w14:paraId="752EAEAF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4ACF"/>
    <w:rsid w:val="00074A38"/>
    <w:rsid w:val="002E3610"/>
    <w:rsid w:val="003D2153"/>
    <w:rsid w:val="005F4B17"/>
    <w:rsid w:val="00615F28"/>
    <w:rsid w:val="008105B1"/>
    <w:rsid w:val="00A616E8"/>
    <w:rsid w:val="00B2454A"/>
    <w:rsid w:val="00D24ACF"/>
    <w:rsid w:val="00D4259B"/>
    <w:rsid w:val="0C3B6C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0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3"/>
    <w:basedOn w:val="1"/>
    <w:next w:val="1"/>
    <w:link w:val="15"/>
    <w:semiHidden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3">
    <w:name w:val="heading 4"/>
    <w:basedOn w:val="2"/>
    <w:next w:val="1"/>
    <w:link w:val="11"/>
    <w:unhideWhenUsed/>
    <w:qFormat/>
    <w:uiPriority w:val="0"/>
    <w:pPr>
      <w:spacing w:line="240" w:lineRule="auto"/>
      <w:jc w:val="left"/>
      <w:outlineLvl w:val="3"/>
    </w:pPr>
    <w:rPr>
      <w:rFonts w:ascii="Times New Roman" w:hAnsi="Times New Roman" w:eastAsia="宋体" w:cs="Times New Roman"/>
      <w:sz w:val="21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页眉 Char"/>
    <w:basedOn w:val="8"/>
    <w:link w:val="5"/>
    <w:qFormat/>
    <w:uiPriority w:val="99"/>
    <w:rPr>
      <w:sz w:val="18"/>
      <w:szCs w:val="18"/>
    </w:rPr>
  </w:style>
  <w:style w:type="character" w:customStyle="1" w:styleId="10">
    <w:name w:val="页脚 Char"/>
    <w:basedOn w:val="8"/>
    <w:link w:val="4"/>
    <w:qFormat/>
    <w:uiPriority w:val="99"/>
    <w:rPr>
      <w:sz w:val="18"/>
      <w:szCs w:val="18"/>
    </w:rPr>
  </w:style>
  <w:style w:type="character" w:customStyle="1" w:styleId="11">
    <w:name w:val="标题 4 Char"/>
    <w:basedOn w:val="8"/>
    <w:link w:val="3"/>
    <w:qFormat/>
    <w:uiPriority w:val="0"/>
    <w:rPr>
      <w:rFonts w:ascii="Times New Roman" w:hAnsi="Times New Roman" w:eastAsia="宋体" w:cs="Times New Roman"/>
      <w:b/>
      <w:bCs/>
      <w:szCs w:val="32"/>
    </w:rPr>
  </w:style>
  <w:style w:type="character" w:styleId="12">
    <w:name w:val="Placeholder Text"/>
    <w:basedOn w:val="8"/>
    <w:semiHidden/>
    <w:qFormat/>
    <w:uiPriority w:val="99"/>
    <w:rPr>
      <w:color w:val="808080"/>
    </w:rPr>
  </w:style>
  <w:style w:type="table" w:customStyle="1" w:styleId="13">
    <w:name w:val="网格型1"/>
    <w:basedOn w:val="6"/>
    <w:qFormat/>
    <w:uiPriority w:val="59"/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4">
    <w:name w:val="样式1"/>
    <w:basedOn w:val="8"/>
    <w:qFormat/>
    <w:uiPriority w:val="1"/>
    <w:rPr>
      <w:rFonts w:eastAsiaTheme="minorEastAsia"/>
      <w:sz w:val="21"/>
    </w:rPr>
  </w:style>
  <w:style w:type="character" w:customStyle="1" w:styleId="15">
    <w:name w:val="标题 3 Char"/>
    <w:basedOn w:val="8"/>
    <w:link w:val="2"/>
    <w:semiHidden/>
    <w:qFormat/>
    <w:uiPriority w:val="9"/>
    <w:rPr>
      <w:b/>
      <w:bCs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emf"/><Relationship Id="rId8" Type="http://schemas.openxmlformats.org/officeDocument/2006/relationships/oleObject" Target="embeddings/oleObject3.bin"/><Relationship Id="rId7" Type="http://schemas.openxmlformats.org/officeDocument/2006/relationships/image" Target="media/image2.emf"/><Relationship Id="rId6" Type="http://schemas.openxmlformats.org/officeDocument/2006/relationships/oleObject" Target="embeddings/oleObject2.bin"/><Relationship Id="rId5" Type="http://schemas.openxmlformats.org/officeDocument/2006/relationships/image" Target="media/image1.emf"/><Relationship Id="rId4" Type="http://schemas.openxmlformats.org/officeDocument/2006/relationships/oleObject" Target="embeddings/oleObject1.bin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glossaryDocument" Target="glossary/document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docParts>
    <w:docPart>
      <w:docPartPr>
        <w:name w:val="474A60ABC0774105A725E94FC305A2DD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60EF554C-2CE3-4BA7-AE50-F56B8E68BBBE}"/>
      </w:docPartPr>
      <w:docPartBody>
        <w:p w14:paraId="7FF1F742">
          <w:pPr>
            <w:pStyle w:val="5"/>
          </w:pPr>
          <w:r>
            <w:rPr>
              <w:rStyle w:val="4"/>
              <w:rFonts w:hint="eastAsia"/>
            </w:rPr>
            <w:t>单击此处输入文字。</w:t>
          </w:r>
        </w:p>
      </w:docPartBody>
    </w:docPart>
    <w:docPart>
      <w:docPartPr>
        <w:name w:val="62758D5B5AFB498298A81B9AB38B6DA4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3F78FC7E-F365-4062-A1E0-7637A49A1929}"/>
      </w:docPartPr>
      <w:docPartBody>
        <w:p w14:paraId="629047D5">
          <w:pPr>
            <w:pStyle w:val="6"/>
          </w:pPr>
          <w:r>
            <w:rPr>
              <w:rStyle w:val="4"/>
              <w:rFonts w:hint="eastAsia"/>
            </w:rPr>
            <w:t>单击此处输入文字。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bordersDoNotSurroundHeader w:val="1"/>
  <w:bordersDoNotSurroundFooter w:val="1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5777"/>
    <w:rsid w:val="00005777"/>
    <w:rsid w:val="007303AC"/>
    <w:rsid w:val="008965EA"/>
    <w:rsid w:val="00AC3B89"/>
    <w:rsid w:val="00B43AB7"/>
    <w:rsid w:val="00E53D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glossary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iPriority="1" w:name="Default Paragraph Font"/>
    <w:lsdException w:qFormat="1" w:uiPriority="99" w:name="Normal Table"/>
    <w:lsdException w:qFormat="1" w:unhideWhenUsed="0" w:uiPriority="99" w:name="Placeholder Text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Placeholder Text"/>
    <w:basedOn w:val="2"/>
    <w:semiHidden/>
    <w:qFormat/>
    <w:uiPriority w:val="99"/>
    <w:rPr>
      <w:color w:val="808080"/>
    </w:rPr>
  </w:style>
  <w:style w:type="paragraph" w:customStyle="1" w:styleId="5">
    <w:name w:val="474A60ABC0774105A725E94FC305A2DD"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6">
    <w:name w:val="62758D5B5AFB498298A81B9AB38B6DA4"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7">
    <w:name w:val="4333F57295884451AC29AB8E7593ED95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8">
    <w:name w:val="4A48400117BB4B75B2A6DC70CC3BC959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9">
    <w:name w:val="BDE384A66D224399B39DFCB98BACF99E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0">
    <w:name w:val="BE841CDDE7AE4C20B525E1E74A032B7A"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1">
    <w:name w:val="E86FE6F6D37240F496B381F3154B88BF"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2">
    <w:name w:val="857A42F2ADAD4B438C979ABB79FF0538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3">
    <w:name w:val="05A53B8F3540471BBFF0D2823DB0603A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4">
    <w:name w:val="4ABF000069F441CDB2D3EAE75ED5EC4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5">
    <w:name w:val="80E5903BB5D9448F8CDFAFD6D465061F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6">
    <w:name w:val="0FB31CFBF11644F19B02D375FCDA51BB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7">
    <w:name w:val="0BF4ABEDAAC84192B22BBE03628B493B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8">
    <w:name w:val="2F461E76508940DC9737A08B6151AB30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9">
    <w:name w:val="42D4177840804C93A3C070E846105F37"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0">
    <w:name w:val="4CF094B5A4D7470E8D49D031E33CB0B0"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1">
    <w:name w:val="87426240F3AB424989EFFD40E1B720E6"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2">
    <w:name w:val="611FFE3344DA4025B2BB503E9C0D9D6C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3">
    <w:name w:val="5545380D1E6440EAAADD775FF534200D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4">
    <w:name w:val="0A106CAD6F42447A9D5D4A37FC1C9FCD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5">
    <w:name w:val="B5B1343965CE4EEBAD23B784B9309F27"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6">
    <w:name w:val="FC2E40BDB78145FBA2C2A8C1E355BC36"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7">
    <w:name w:val="B335EAAA509047B2854D83BFD9E0ED69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8">
    <w:name w:val="955A24C804B64D61A6C338B5F49CCCF0"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9">
    <w:name w:val="5F53E4E536F14170ADA95F9EE3DEE317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30">
    <w:name w:val="D6984C222B7C4320A5F0C7682B416173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31">
    <w:name w:val="05803709B00148D59840F6C87131980C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32">
    <w:name w:val="C90B1C6798544A4F99D7100AAA5CB5EE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33">
    <w:name w:val="27E5E312E5174F5580607F4F4E53B70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34">
    <w:name w:val="D85A580129D04582B45127FC2C2D6E38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35">
    <w:name w:val="06E979FF639D46BB99527F1C46A85F29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36">
    <w:name w:val="E976967418934B7C9C9CD4D24864404B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37">
    <w:name w:val="78697A71EF284E49BCE9FD243736A9A8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38">
    <w:name w:val="F666EC0BBC164EEBA47F9B7AB1E3F9C1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39">
    <w:name w:val="7543FDDF542D49F08277C2F1BD8795E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40">
    <w:name w:val="3B7DA8032DC34A35B4D2B561CE791075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41">
    <w:name w:val="E66987AE357B473190083E8AD0208E1D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42">
    <w:name w:val="27E9EA8004D44162B0BF013945EE605E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43">
    <w:name w:val="439FDAA1CD06481D8EE69EDD6A8747BD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</w:style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463</Words>
  <Characters>493</Characters>
  <Lines>5</Lines>
  <Paragraphs>1</Paragraphs>
  <TotalTime>0</TotalTime>
  <ScaleCrop>false</ScaleCrop>
  <LinksUpToDate>false</LinksUpToDate>
  <CharactersWithSpaces>578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2019-07-12T08:17:00Z</dcterms:created>
  <dc:creator>dongYP</dc:creator>
  <cp:lastModifiedBy>Gambler</cp:lastModifiedBy>
  <dcterms:modified xsi:type="dcterms:W3CDTF">2025-03-13T02:59:14Z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eyJoZGlkIjoiOGNhZDQ4NGE4Nzg3MGIxNzk0NTJkMGM1YzczN2E5ZTAiLCJ1c2VySWQiOiI0MjUwNDcxMTEifQ==</vt:lpwstr>
  </property>
  <property fmtid="{D5CDD505-2E9C-101B-9397-08002B2CF9AE}" pid="3" name="KSOProductBuildVer">
    <vt:lpwstr>2052-12.1.0.20305</vt:lpwstr>
  </property>
  <property fmtid="{D5CDD505-2E9C-101B-9397-08002B2CF9AE}" pid="4" name="ICV">
    <vt:lpwstr>6CA2C1BD8C7D4BFEBC78852CFB310C6E_12</vt:lpwstr>
  </property>
</Properties>
</file>