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8161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 w14:paraId="08C0E01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36F8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74314F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1F976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BCDA2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C69E65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2223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670D9F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583F7764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14:paraId="12BD7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2B938C3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D86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30BE7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504CB5CB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14:paraId="1C67D44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47C71CC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1F9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00D670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525CF9D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14:paraId="07AF6C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CE2B9E283F60411FB4335C5C388D5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152FE2E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ED3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26933B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14:paraId="1CBAD75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2E78F0A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4FB5DC7FB74B473CAC613041CBEE83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67A80A70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AA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33E96A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14:paraId="2674654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14:paraId="672C7F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902B0082D66243329EEC3538BDAA2BA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 w14:paraId="221C33D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EE8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 w14:paraId="60090E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07A9A77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DF1C1EF12F4941699A37C6491D1966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02679E2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FF61C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E7291F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请简要说明项目开发建设、运营维护过程中的其他创新措施及其社会和经济效益。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6E93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D95F39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开发建设创新</w:t>
            </w:r>
          </w:p>
          <w:p w14:paraId="553EAEB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太阳能一体化设计：在图书馆屋顶及外立面铺设太阳能板，为馆内部分设备供电，不仅减少对传统能源依赖，还降低建设后期用电成本，预计每年节省电费约 15%，同时减少碳排放，助力环保。</w:t>
            </w:r>
          </w:p>
          <w:p w14:paraId="48A130A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雨水收集利用系统：设置雨水收集池，收集屋顶及地面雨水用于馆内绿植灌溉与卫生清洁，每年可节水约 300 立方米，既节约水资源，又降低运营成本。</w:t>
            </w:r>
          </w:p>
          <w:p w14:paraId="37124DD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运营维护创新</w:t>
            </w:r>
          </w:p>
          <w:p w14:paraId="38AAD3C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智能书架管理：运用物联网技术，实时定位书籍位置，方便读者快速找书，提升借阅效率，日均借阅量增加约 25%，提升公共文化服务质量，产生良好社会效益 </w:t>
            </w:r>
          </w:p>
        </w:tc>
      </w:tr>
    </w:tbl>
    <w:p w14:paraId="55A0ABD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2EF791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EF611A2">
      <w:pPr>
        <w:pStyle w:val="15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1）创新措施</w:t>
      </w:r>
      <w:r>
        <w:rPr>
          <w:rFonts w:ascii="宋体" w:hAnsi="宋体" w:cs="宋体"/>
          <w:kern w:val="0"/>
          <w:szCs w:val="21"/>
        </w:rPr>
        <w:t>相关</w:t>
      </w:r>
      <w:r>
        <w:rPr>
          <w:rFonts w:hint="eastAsia" w:ascii="宋体" w:hAnsi="宋体" w:cs="宋体"/>
          <w:kern w:val="0"/>
          <w:szCs w:val="21"/>
        </w:rPr>
        <w:t>设计文件；</w:t>
      </w:r>
    </w:p>
    <w:p w14:paraId="4B6F8A62">
      <w:pPr>
        <w:pStyle w:val="15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2）创新措施</w:t>
      </w:r>
      <w:r>
        <w:rPr>
          <w:rFonts w:ascii="宋体" w:hAnsi="宋体" w:cs="宋体"/>
          <w:kern w:val="0"/>
          <w:szCs w:val="21"/>
        </w:rPr>
        <w:t>的</w:t>
      </w:r>
      <w:r>
        <w:rPr>
          <w:rFonts w:hint="eastAsia" w:ascii="宋体" w:hAnsi="宋体" w:cs="宋体"/>
          <w:kern w:val="0"/>
          <w:szCs w:val="21"/>
        </w:rPr>
        <w:t>分析论证</w:t>
      </w:r>
      <w:r>
        <w:rPr>
          <w:rFonts w:ascii="宋体" w:hAnsi="宋体" w:cs="宋体"/>
          <w:kern w:val="0"/>
          <w:szCs w:val="21"/>
        </w:rPr>
        <w:t>报告及相关证明材料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216D79D0">
      <w:pPr>
        <w:pStyle w:val="15"/>
        <w:adjustRightInd w:val="0"/>
        <w:snapToGrid w:val="0"/>
        <w:ind w:firstLine="0" w:firstLineChars="0"/>
        <w:rPr>
          <w:rFonts w:ascii="宋体" w:hAnsi="宋体" w:cs="宋体"/>
          <w:kern w:val="0"/>
          <w:szCs w:val="21"/>
        </w:rPr>
      </w:pPr>
    </w:p>
    <w:p w14:paraId="0D0337D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7D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F25592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721596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2C3821"/>
    <w:rsid w:val="008E6A29"/>
    <w:rsid w:val="00BE4120"/>
    <w:rsid w:val="00D31F93"/>
    <w:rsid w:val="4BB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 w14:paraId="1C5B32B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 w14:paraId="0A756AE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2B9E283F60411FB4335C5C388D5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22A27-424E-4D26-9188-020877C2ECB7}"/>
      </w:docPartPr>
      <w:docPartBody>
        <w:p w14:paraId="283E4B97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B5DC7FB74B473CAC613041CBEE83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70B7C9-A22F-47A4-BE9E-C1E46DD2ED96}"/>
      </w:docPartPr>
      <w:docPartBody>
        <w:p w14:paraId="5E046A1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2B0082D66243329EEC3538BDAA2B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55F288-DAE3-4BF5-8AC0-F2E58E92486C}"/>
      </w:docPartPr>
      <w:docPartBody>
        <w:p w14:paraId="5B7CE86C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1C1EF12F4941699A37C6491D1966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01B46F-D246-4D43-98F4-4E8A47B62275}"/>
      </w:docPartPr>
      <w:docPartBody>
        <w:p w14:paraId="4878071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C12AE8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CCD75157C9B452D9A02DD3F000204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45A021028D47BD8266CE7F0432687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97A075883A4D5198E440EB6879E8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254</Characters>
  <Lines>2</Lines>
  <Paragraphs>1</Paragraphs>
  <TotalTime>3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Gambler</cp:lastModifiedBy>
  <dcterms:modified xsi:type="dcterms:W3CDTF">2025-03-13T03:12:02Z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8E084D5CF3E2473797005CF6A3FB36AF_12</vt:lpwstr>
  </property>
</Properties>
</file>