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91D9" w14:textId="77777777" w:rsidR="00395669" w:rsidRDefault="00395669" w:rsidP="00395669">
      <w:pPr>
        <w:pStyle w:val="1"/>
        <w:jc w:val="center"/>
      </w:pPr>
    </w:p>
    <w:p w14:paraId="44B90CDF" w14:textId="77777777" w:rsidR="00395669" w:rsidRDefault="00395669" w:rsidP="00395669">
      <w:pPr>
        <w:pStyle w:val="1"/>
        <w:jc w:val="center"/>
      </w:pPr>
    </w:p>
    <w:p w14:paraId="0A2F9517" w14:textId="77777777" w:rsidR="00395669" w:rsidRDefault="00395669" w:rsidP="00395669">
      <w:pPr>
        <w:pStyle w:val="1"/>
        <w:jc w:val="center"/>
      </w:pPr>
    </w:p>
    <w:p w14:paraId="5E77512B" w14:textId="77777777" w:rsidR="00395669" w:rsidRDefault="00395669" w:rsidP="00395669">
      <w:pPr>
        <w:pStyle w:val="1"/>
        <w:jc w:val="center"/>
      </w:pPr>
      <w:r>
        <w:rPr>
          <w:rFonts w:hint="eastAsia"/>
        </w:rPr>
        <w:t>绿容率</w:t>
      </w:r>
      <w:r>
        <w:t>计算书</w:t>
      </w:r>
    </w:p>
    <w:p w14:paraId="2271D935" w14:textId="77777777" w:rsidR="00395669" w:rsidRDefault="00395669" w:rsidP="00395669">
      <w:pPr>
        <w:rPr>
          <w:kern w:val="44"/>
          <w:sz w:val="44"/>
          <w:szCs w:val="44"/>
        </w:rPr>
      </w:pPr>
      <w:r>
        <w:br w:type="page"/>
      </w:r>
    </w:p>
    <w:p w14:paraId="04A68007" w14:textId="77777777" w:rsidR="00395669" w:rsidRDefault="00395669" w:rsidP="00395669">
      <w:pPr>
        <w:pStyle w:val="a3"/>
        <w:jc w:val="left"/>
      </w:pPr>
    </w:p>
    <w:p w14:paraId="028A41BF" w14:textId="6941F5FA" w:rsidR="005D4F88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rFonts w:hint="eastAsia"/>
          <w:b w:val="0"/>
          <w:u w:val="single"/>
        </w:rPr>
        <w:t xml:space="preserve">  </w:t>
      </w:r>
      <w:r w:rsidR="0089260D" w:rsidRPr="0089260D">
        <w:rPr>
          <w:rFonts w:hint="eastAsia"/>
          <w:b w:val="0"/>
          <w:u w:val="single"/>
        </w:rPr>
        <w:t>青禾清食—绿色低碳主题下的高校食堂重构</w:t>
      </w:r>
      <w:r>
        <w:rPr>
          <w:rFonts w:hint="eastAsia"/>
          <w:b w:val="0"/>
          <w:u w:val="single"/>
        </w:rPr>
        <w:t xml:space="preserve"> </w:t>
      </w:r>
    </w:p>
    <w:p w14:paraId="0D08EE84" w14:textId="77777777" w:rsidR="00395669" w:rsidRDefault="00395669" w:rsidP="00395669"/>
    <w:p w14:paraId="2AB3054A" w14:textId="77777777" w:rsidR="00395669" w:rsidRDefault="00395669" w:rsidP="00395669">
      <w:pPr>
        <w:pStyle w:val="a3"/>
        <w:jc w:val="left"/>
        <w:rPr>
          <w:b w:val="0"/>
          <w:u w:val="single"/>
        </w:rPr>
      </w:pPr>
      <w:r>
        <w:rPr>
          <w:rFonts w:hint="eastAsia"/>
        </w:rPr>
        <w:t>条文要求</w:t>
      </w:r>
      <w:r>
        <w:t>：</w:t>
      </w:r>
    </w:p>
    <w:p w14:paraId="30DEAF5B" w14:textId="77777777" w:rsidR="00395669" w:rsidRDefault="00395669" w:rsidP="00395669">
      <w:r>
        <w:tab/>
      </w:r>
      <w:r>
        <w:rPr>
          <w:rFonts w:hint="eastAsia"/>
        </w:rPr>
        <w:t xml:space="preserve">9.2.4  </w:t>
      </w:r>
      <w:r>
        <w:rPr>
          <w:rFonts w:hint="eastAsia"/>
        </w:rPr>
        <w:t>场地绿容率不低于</w:t>
      </w:r>
      <w:r>
        <w:rPr>
          <w:rFonts w:hint="eastAsia"/>
        </w:rPr>
        <w:t>3.0</w:t>
      </w:r>
      <w:r>
        <w:rPr>
          <w:rFonts w:hint="eastAsia"/>
        </w:rPr>
        <w:t>，评价总分值为</w:t>
      </w:r>
      <w:r>
        <w:rPr>
          <w:rFonts w:hint="eastAsia"/>
        </w:rPr>
        <w:t>5</w:t>
      </w:r>
      <w:r>
        <w:rPr>
          <w:rFonts w:hint="eastAsia"/>
        </w:rPr>
        <w:t>分，并按下列规则评分：</w:t>
      </w:r>
    </w:p>
    <w:p w14:paraId="69FA0B96" w14:textId="77777777" w:rsidR="00395669" w:rsidRDefault="00395669" w:rsidP="00395669">
      <w:r>
        <w:rPr>
          <w:rFonts w:hint="eastAsia"/>
        </w:rPr>
        <w:t xml:space="preserve">      1   </w:t>
      </w:r>
      <w:r>
        <w:rPr>
          <w:rFonts w:hint="eastAsia"/>
        </w:rPr>
        <w:t>场地绿容率计算值不低于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389B73AA" w14:textId="77777777" w:rsidR="00395669" w:rsidRDefault="00395669" w:rsidP="00395669">
      <w:r>
        <w:rPr>
          <w:rFonts w:hint="eastAsia"/>
        </w:rPr>
        <w:t xml:space="preserve">      2   </w:t>
      </w:r>
      <w:r>
        <w:rPr>
          <w:rFonts w:hint="eastAsia"/>
        </w:rPr>
        <w:t>场地绿容率实测值不低于</w:t>
      </w:r>
      <w:r>
        <w:rPr>
          <w:rFonts w:hint="eastAsia"/>
        </w:rPr>
        <w:t>3.0</w:t>
      </w:r>
      <w:r>
        <w:rPr>
          <w:rFonts w:hint="eastAsia"/>
        </w:rPr>
        <w:t>，得</w:t>
      </w:r>
      <w:r>
        <w:rPr>
          <w:rFonts w:hint="eastAsia"/>
        </w:rPr>
        <w:t>5</w:t>
      </w:r>
      <w:r>
        <w:rPr>
          <w:rFonts w:hint="eastAsia"/>
        </w:rPr>
        <w:t>分。</w:t>
      </w:r>
    </w:p>
    <w:p w14:paraId="3EB10DC9" w14:textId="77777777" w:rsidR="00395669" w:rsidRDefault="00395669" w:rsidP="00395669">
      <w:pPr>
        <w:pStyle w:val="a3"/>
        <w:jc w:val="left"/>
      </w:pPr>
      <w:r>
        <w:rPr>
          <w:rFonts w:hint="eastAsia"/>
        </w:rPr>
        <w:t>项目</w:t>
      </w:r>
      <w:r>
        <w:t>概况：</w:t>
      </w:r>
    </w:p>
    <w:p w14:paraId="296AA75F" w14:textId="5B2E257E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7B6373">
        <w:rPr>
          <w:rFonts w:ascii="MS Mincho" w:hAnsi="MS Mincho" w:cs="MS Mincho" w:hint="eastAsia"/>
          <w:kern w:val="0"/>
          <w:sz w:val="25"/>
          <w:szCs w:val="25"/>
          <w:u w:val="single"/>
        </w:rPr>
        <w:t>4</w:t>
      </w:r>
      <w:r w:rsidR="0089260D">
        <w:rPr>
          <w:rFonts w:ascii="MS Mincho" w:hAnsi="MS Mincho" w:cs="MS Mincho" w:hint="eastAsia"/>
          <w:kern w:val="0"/>
          <w:sz w:val="25"/>
          <w:szCs w:val="25"/>
          <w:u w:val="single"/>
        </w:rPr>
        <w:t>6</w:t>
      </w:r>
      <w:r w:rsidR="007B6373">
        <w:rPr>
          <w:rFonts w:ascii="MS Mincho" w:hAnsi="MS Mincho" w:cs="MS Mincho" w:hint="eastAsia"/>
          <w:kern w:val="0"/>
          <w:sz w:val="25"/>
          <w:szCs w:val="25"/>
          <w:u w:val="single"/>
        </w:rPr>
        <w:t>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2</w:t>
      </w:r>
      <w:r w:rsidR="008D311B">
        <w:rPr>
          <w:rFonts w:ascii="MS Mincho" w:hAnsi="MS Mincho" w:cs="MS Mincho"/>
          <w:kern w:val="0"/>
          <w:sz w:val="25"/>
          <w:szCs w:val="25"/>
        </w:rPr>
        <w:t>)</w:t>
      </w:r>
    </w:p>
    <w:p w14:paraId="7BA3A8B2" w14:textId="08DF5E52" w:rsidR="00395669" w:rsidRPr="0024096D" w:rsidRDefault="00395669" w:rsidP="00395669">
      <w:pPr>
        <w:rPr>
          <w:rFonts w:ascii="MS Mincho" w:hAnsi="MS Mincho" w:cs="MS Mincho" w:hint="eastAsia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冠层稀疏类乔木株数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 w:rsidR="007B6373">
        <w:rPr>
          <w:rFonts w:ascii="MS Mincho" w:hAnsi="MS Mincho" w:cs="MS Mincho" w:hint="eastAsia"/>
          <w:kern w:val="0"/>
          <w:sz w:val="25"/>
          <w:szCs w:val="25"/>
          <w:u w:val="single"/>
        </w:rPr>
        <w:t>23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508BB5EA" w14:textId="2C658385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冠层密集类乔木投影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7B6373">
        <w:rPr>
          <w:rFonts w:ascii="MS Mincho" w:hAnsi="MS Mincho" w:cs="MS Mincho" w:hint="eastAsia"/>
          <w:kern w:val="0"/>
          <w:sz w:val="25"/>
          <w:szCs w:val="25"/>
          <w:u w:val="single"/>
        </w:rPr>
        <w:t>560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(</w:t>
      </w:r>
      <w:r w:rsidR="008D311B">
        <w:rPr>
          <w:rFonts w:ascii="MS Mincho" w:hAnsi="MS Mincho" w:cs="MS Mincho" w:hint="eastAsia"/>
          <w:kern w:val="0"/>
          <w:sz w:val="25"/>
          <w:szCs w:val="25"/>
        </w:rPr>
        <w:t>叶面积指数</w:t>
      </w:r>
      <w:r w:rsidR="008D311B">
        <w:rPr>
          <w:rFonts w:ascii="MS Mincho" w:hAnsi="MS Mincho" w:cs="MS Mincho"/>
          <w:kern w:val="0"/>
          <w:sz w:val="25"/>
          <w:szCs w:val="25"/>
        </w:rPr>
        <w:t>4)</w:t>
      </w:r>
    </w:p>
    <w:p w14:paraId="1ACEB896" w14:textId="5D24DE11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冠层密集类乔木株数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7B6373">
        <w:rPr>
          <w:rFonts w:ascii="MS Mincho" w:hAnsi="MS Mincho" w:cs="MS Mincho" w:hint="eastAsia"/>
          <w:kern w:val="0"/>
          <w:sz w:val="25"/>
          <w:szCs w:val="25"/>
          <w:u w:val="single"/>
        </w:rPr>
        <w:t>28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株</w:t>
      </w:r>
    </w:p>
    <w:p w14:paraId="078C1F86" w14:textId="2B409815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</w:t>
      </w:r>
      <w:r w:rsidR="007B6373">
        <w:rPr>
          <w:rFonts w:ascii="MS Mincho" w:hAnsi="MS Mincho" w:cs="MS Mincho" w:hint="eastAsia"/>
          <w:kern w:val="0"/>
          <w:sz w:val="25"/>
          <w:szCs w:val="25"/>
          <w:u w:val="single"/>
        </w:rPr>
        <w:t>5</w:t>
      </w:r>
      <w:r w:rsidR="0089260D">
        <w:rPr>
          <w:rFonts w:ascii="MS Mincho" w:hAnsi="MS Mincho" w:cs="MS Mincho" w:hint="eastAsia"/>
          <w:kern w:val="0"/>
          <w:sz w:val="25"/>
          <w:szCs w:val="25"/>
          <w:u w:val="single"/>
        </w:rPr>
        <w:t>74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25A200AB" w14:textId="7C7F2E20" w:rsidR="00395669" w:rsidRDefault="00395669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</w:t>
      </w:r>
      <w:r w:rsidR="0024096D">
        <w:rPr>
          <w:rFonts w:ascii="MS Mincho" w:hAnsi="MS Mincho" w:cs="MS Mincho" w:hint="eastAsia"/>
          <w:kern w:val="0"/>
          <w:sz w:val="25"/>
          <w:szCs w:val="25"/>
          <w:u w:val="single"/>
        </w:rPr>
        <w:t>2087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5300614F" w14:textId="6C77CE3E" w:rsidR="00F57482" w:rsidRPr="00F57482" w:rsidRDefault="00F57482" w:rsidP="00395669">
      <w:pPr>
        <w:rPr>
          <w:rFonts w:ascii="MS Mincho" w:hAnsi="MS Mincho" w:cs="MS Mincho" w:hint="eastAsia"/>
          <w:kern w:val="0"/>
          <w:sz w:val="25"/>
          <w:szCs w:val="25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w:r>
        <w:rPr>
          <w:rFonts w:ascii="MS Mincho" w:hAnsi="MS Mincho" w:cs="MS Mincho"/>
          <w:kern w:val="0"/>
          <w:sz w:val="25"/>
          <w:szCs w:val="25"/>
        </w:rPr>
        <w:t>：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</w:t>
      </w:r>
      <w:r w:rsidR="0089260D">
        <w:rPr>
          <w:rFonts w:ascii="MS Mincho" w:hAnsi="MS Mincho" w:cs="MS Mincho" w:hint="eastAsia"/>
          <w:kern w:val="0"/>
          <w:sz w:val="25"/>
          <w:szCs w:val="25"/>
          <w:u w:val="single"/>
        </w:rPr>
        <w:t>7900</w:t>
      </w:r>
      <w:r>
        <w:rPr>
          <w:rFonts w:ascii="MS Mincho" w:hAnsi="MS Mincho" w:cs="MS Mincho" w:hint="eastAsia"/>
          <w:kern w:val="0"/>
          <w:sz w:val="25"/>
          <w:szCs w:val="25"/>
          <w:u w:val="single"/>
        </w:rPr>
        <w:t xml:space="preserve">        </w:t>
      </w:r>
      <w:r>
        <w:rPr>
          <w:rFonts w:ascii="MS Mincho" w:hAnsi="MS Mincho" w:cs="MS Mincho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㎡</w:t>
      </w:r>
    </w:p>
    <w:p w14:paraId="50A1EE96" w14:textId="77777777" w:rsidR="00F57482" w:rsidRDefault="00F57482" w:rsidP="00F57482">
      <w:pPr>
        <w:pStyle w:val="a3"/>
        <w:jc w:val="left"/>
      </w:pPr>
      <w:r>
        <w:rPr>
          <w:rFonts w:hint="eastAsia"/>
        </w:rPr>
        <w:t>计算</w:t>
      </w:r>
      <w:r>
        <w:t>：</w:t>
      </w:r>
    </w:p>
    <w:p w14:paraId="6F4AD6FE" w14:textId="77777777" w:rsidR="00F57482" w:rsidRDefault="00F57482" w:rsidP="00F57482">
      <w:pPr>
        <w:ind w:firstLine="420"/>
        <w:rPr>
          <w:rFonts w:ascii="MS Mincho" w:hAnsi="MS Mincho" w:cs="MS Mincho" w:hint="eastAsia"/>
          <w:kern w:val="0"/>
          <w:sz w:val="25"/>
          <w:szCs w:val="25"/>
        </w:rPr>
      </w:pPr>
      <w:r w:rsidRPr="00F57482">
        <w:rPr>
          <w:rFonts w:ascii="MS Mincho" w:hAnsi="MS Mincho" w:cs="MS Mincho" w:hint="eastAsia"/>
          <w:kern w:val="0"/>
          <w:sz w:val="25"/>
          <w:szCs w:val="25"/>
        </w:rPr>
        <w:t>绿容率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=[</w:t>
      </w:r>
      <w:r w:rsidRPr="00F57482">
        <w:rPr>
          <w:rFonts w:ascii="MS Mincho" w:hAnsi="MS Mincho" w:cs="MS Mincho"/>
          <w:kern w:val="0"/>
          <w:sz w:val="25"/>
          <w:szCs w:val="25"/>
        </w:rPr>
        <w:t>∑(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叶面积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>指数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投影面积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 w:rsidRPr="00F57482">
        <w:rPr>
          <w:rFonts w:ascii="MS Mincho" w:hAnsi="MS Mincho" w:cs="MS Mincho" w:hint="eastAsia"/>
          <w:kern w:val="0"/>
          <w:sz w:val="25"/>
          <w:szCs w:val="25"/>
        </w:rPr>
        <w:t>乔木</w:t>
      </w:r>
      <w:r w:rsidRPr="00F57482">
        <w:rPr>
          <w:rFonts w:ascii="MS Mincho" w:hAnsi="MS Mincho" w:cs="MS Mincho"/>
          <w:kern w:val="0"/>
          <w:sz w:val="25"/>
          <w:szCs w:val="25"/>
        </w:rPr>
        <w:t>株数</w:t>
      </w:r>
      <w:r w:rsidRPr="00F57482">
        <w:rPr>
          <w:rFonts w:ascii="MS Mincho" w:hAnsi="MS Mincho" w:cs="MS Mincho"/>
          <w:kern w:val="0"/>
          <w:sz w:val="25"/>
          <w:szCs w:val="25"/>
        </w:rPr>
        <w:t>)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+ </w:t>
      </w:r>
      <w:r>
        <w:rPr>
          <w:rFonts w:ascii="MS Mincho" w:hAnsi="MS Mincho" w:cs="MS Mincho" w:hint="eastAsia"/>
          <w:kern w:val="0"/>
          <w:sz w:val="25"/>
          <w:szCs w:val="25"/>
        </w:rPr>
        <w:t>灌木占地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3+</w:t>
      </w:r>
      <w:r>
        <w:rPr>
          <w:rFonts w:ascii="MS Mincho" w:hAnsi="MS Mincho" w:cs="MS Mincho" w:hint="eastAsia"/>
          <w:kern w:val="0"/>
          <w:sz w:val="25"/>
          <w:szCs w:val="25"/>
        </w:rPr>
        <w:t>草地占地</w:t>
      </w:r>
      <w:r>
        <w:rPr>
          <w:rFonts w:ascii="MS Mincho" w:hAnsi="MS Mincho" w:cs="MS Mincho"/>
          <w:kern w:val="0"/>
          <w:sz w:val="25"/>
          <w:szCs w:val="25"/>
        </w:rPr>
        <w:t>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</w:t>
      </w:r>
      <w:r w:rsidRPr="00F57482">
        <w:rPr>
          <w:rFonts w:ascii="MS Mincho" w:hAnsi="MS Mincho" w:cs="MS Mincho"/>
          <w:kern w:val="0"/>
          <w:sz w:val="25"/>
          <w:szCs w:val="25"/>
        </w:rPr>
        <w:t>]</w:t>
      </w:r>
      <w:r>
        <w:rPr>
          <w:rFonts w:ascii="MS Mincho" w:hAnsi="MS Mincho" w:cs="MS Mincho"/>
          <w:kern w:val="0"/>
          <w:sz w:val="25"/>
          <w:szCs w:val="25"/>
        </w:rPr>
        <w:t>/</w:t>
      </w:r>
      <w:r w:rsidRPr="00F57482">
        <w:rPr>
          <w:rFonts w:ascii="MS Mincho" w:hAnsi="MS Mincho" w:cs="MS Mincho" w:hint="eastAsia"/>
          <w:kern w:val="0"/>
          <w:sz w:val="25"/>
          <w:szCs w:val="25"/>
        </w:rPr>
        <w:t xml:space="preserve"> </w:t>
      </w:r>
      <w:r>
        <w:rPr>
          <w:rFonts w:ascii="MS Mincho" w:hAnsi="MS Mincho" w:cs="MS Mincho" w:hint="eastAsia"/>
          <w:kern w:val="0"/>
          <w:sz w:val="25"/>
          <w:szCs w:val="25"/>
        </w:rPr>
        <w:t>场地面积</w:t>
      </w:r>
      <m:oMath>
        <m:r>
          <m:rPr>
            <m:sty m:val="p"/>
          </m:rPr>
          <w:rPr>
            <w:rFonts w:ascii="Cambria Math" w:hAnsi="Cambria Math" w:cs="MS Mincho"/>
            <w:kern w:val="0"/>
            <w:sz w:val="25"/>
            <w:szCs w:val="25"/>
          </w:rPr>
          <m:t>×</m:t>
        </m:r>
      </m:oMath>
      <w:r>
        <w:rPr>
          <w:rFonts w:ascii="MS Mincho" w:hAnsi="MS Mincho" w:cs="MS Mincho" w:hint="eastAsia"/>
          <w:kern w:val="0"/>
          <w:sz w:val="25"/>
          <w:szCs w:val="25"/>
        </w:rPr>
        <w:t>100</w:t>
      </w:r>
      <w:r>
        <w:rPr>
          <w:rFonts w:ascii="MS Mincho" w:hAnsi="MS Mincho" w:cs="MS Mincho"/>
          <w:kern w:val="0"/>
          <w:sz w:val="25"/>
          <w:szCs w:val="25"/>
        </w:rPr>
        <w:t>%</w:t>
      </w:r>
    </w:p>
    <w:p w14:paraId="2526BAB2" w14:textId="3A3437DE" w:rsidR="00F57482" w:rsidRPr="00F57482" w:rsidRDefault="00F57482" w:rsidP="00F57482">
      <w:pPr>
        <w:ind w:firstLine="420"/>
        <w:rPr>
          <w:rFonts w:ascii="MS Mincho" w:hAnsi="MS Mincho" w:cs="MS Mincho" w:hint="eastAsia"/>
          <w:kern w:val="0"/>
          <w:sz w:val="25"/>
          <w:szCs w:val="25"/>
          <w:u w:val="single"/>
        </w:rPr>
      </w:pPr>
      <w:r>
        <w:rPr>
          <w:rFonts w:ascii="MS Mincho" w:hAnsi="MS Mincho" w:cs="MS Mincho" w:hint="eastAsia"/>
          <w:kern w:val="0"/>
          <w:sz w:val="25"/>
          <w:szCs w:val="25"/>
        </w:rPr>
        <w:t xml:space="preserve">     </w:t>
      </w:r>
      <w:r>
        <w:rPr>
          <w:rFonts w:ascii="MS Mincho" w:hAnsi="MS Mincho" w:cs="MS Mincho"/>
          <w:kern w:val="0"/>
          <w:sz w:val="25"/>
          <w:szCs w:val="25"/>
        </w:rPr>
        <w:t>=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</w:t>
      </w:r>
      <w:r w:rsidR="007B6373">
        <w:rPr>
          <w:rFonts w:ascii="MS Mincho" w:hAnsi="MS Mincho" w:cs="MS Mincho" w:hint="eastAsia"/>
          <w:kern w:val="0"/>
          <w:sz w:val="25"/>
          <w:szCs w:val="25"/>
          <w:u w:val="single"/>
        </w:rPr>
        <w:t>9.35</w:t>
      </w:r>
      <w:r w:rsidR="00F733AA">
        <w:rPr>
          <w:rFonts w:ascii="MS Mincho" w:hAnsi="MS Mincho" w:cs="MS Mincho" w:hint="eastAsia"/>
          <w:kern w:val="0"/>
          <w:sz w:val="25"/>
          <w:szCs w:val="25"/>
          <w:u w:val="single"/>
        </w:rPr>
        <w:t>％</w:t>
      </w:r>
      <w:r>
        <w:rPr>
          <w:rFonts w:ascii="MS Mincho" w:hAnsi="MS Mincho" w:cs="MS Mincho"/>
          <w:kern w:val="0"/>
          <w:sz w:val="25"/>
          <w:szCs w:val="25"/>
          <w:u w:val="single"/>
        </w:rPr>
        <w:t xml:space="preserve">      </w:t>
      </w:r>
    </w:p>
    <w:p w14:paraId="59D51235" w14:textId="77777777" w:rsidR="00F57482" w:rsidRDefault="00F57482" w:rsidP="00F57482">
      <w:pPr>
        <w:pStyle w:val="a3"/>
        <w:jc w:val="left"/>
      </w:pPr>
      <w:r>
        <w:rPr>
          <w:rFonts w:hint="eastAsia"/>
        </w:rPr>
        <w:t>结论</w:t>
      </w:r>
      <w:r>
        <w:t>：</w:t>
      </w:r>
    </w:p>
    <w:p w14:paraId="5E286966" w14:textId="11FCD61A" w:rsidR="00395669" w:rsidRPr="00395669" w:rsidRDefault="00F57482" w:rsidP="00F57482">
      <w:pPr>
        <w:ind w:firstLine="420"/>
      </w:pPr>
      <w:r>
        <w:rPr>
          <w:rFonts w:hint="eastAsia"/>
        </w:rPr>
        <w:t>经验算，</w:t>
      </w:r>
      <w:r>
        <w:t>绿容率为</w:t>
      </w:r>
      <w:r w:rsidR="007B6373">
        <w:rPr>
          <w:rFonts w:hint="eastAsia"/>
        </w:rPr>
        <w:t>9.35</w:t>
      </w:r>
      <w:r w:rsidR="007B6373">
        <w:rPr>
          <w:rFonts w:hint="eastAsia"/>
        </w:rPr>
        <w:t>％</w:t>
      </w:r>
      <w:r>
        <w:t>，满足规范要求，得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t>。</w:t>
      </w:r>
    </w:p>
    <w:sectPr w:rsidR="00395669" w:rsidRPr="00395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3B"/>
    <w:rsid w:val="0024096D"/>
    <w:rsid w:val="00395669"/>
    <w:rsid w:val="005D4F88"/>
    <w:rsid w:val="007B6373"/>
    <w:rsid w:val="0089260D"/>
    <w:rsid w:val="008D311B"/>
    <w:rsid w:val="00D21FD7"/>
    <w:rsid w:val="00F57482"/>
    <w:rsid w:val="00F733AA"/>
    <w:rsid w:val="00FA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26C4A"/>
  <w15:chartTrackingRefBased/>
  <w15:docId w15:val="{7FE8EF3B-F6CF-483C-B60A-C5B2A5762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6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60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669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39566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395669"/>
    <w:rPr>
      <w:rFonts w:asciiTheme="majorHAnsi" w:eastAsia="宋体" w:hAnsiTheme="majorHAnsi" w:cstheme="majorBidi"/>
      <w:b/>
      <w:bCs/>
      <w:sz w:val="32"/>
      <w:szCs w:val="32"/>
    </w:rPr>
  </w:style>
  <w:style w:type="character" w:styleId="a5">
    <w:name w:val="Placeholder Text"/>
    <w:basedOn w:val="a0"/>
    <w:uiPriority w:val="99"/>
    <w:semiHidden/>
    <w:rsid w:val="00F57482"/>
    <w:rPr>
      <w:color w:val="808080"/>
    </w:rPr>
  </w:style>
  <w:style w:type="character" w:customStyle="1" w:styleId="20">
    <w:name w:val="标题 2 字符"/>
    <w:basedOn w:val="a0"/>
    <w:link w:val="2"/>
    <w:uiPriority w:val="9"/>
    <w:semiHidden/>
    <w:rsid w:val="0089260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8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佳杨 徐</cp:lastModifiedBy>
  <cp:revision>6</cp:revision>
  <dcterms:created xsi:type="dcterms:W3CDTF">2020-01-10T08:38:00Z</dcterms:created>
  <dcterms:modified xsi:type="dcterms:W3CDTF">2025-03-14T10:23:00Z</dcterms:modified>
</cp:coreProperties>
</file>