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BD2CF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58" w:name="_GoBack"/>
      <w:bookmarkEnd w:id="58"/>
    </w:p>
    <w:p w14:paraId="129FA6D3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8EE3496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住区热环境设计报告书</w:t>
      </w:r>
    </w:p>
    <w:p w14:paraId="7CE0D5F4">
      <w:pPr>
        <w:jc w:val="center"/>
        <w:rPr>
          <w:rFonts w:ascii="黑体" w:hAnsi="黑体" w:eastAsia="黑体"/>
          <w:sz w:val="36"/>
          <w:szCs w:val="36"/>
          <w:lang w:val="en-US"/>
        </w:rPr>
      </w:pPr>
      <w:r>
        <w:rPr>
          <w:rFonts w:hint="eastAsia" w:ascii="黑体" w:hAnsi="黑体" w:eastAsia="黑体"/>
          <w:sz w:val="36"/>
          <w:szCs w:val="36"/>
          <w:lang w:val="en-US"/>
        </w:rPr>
        <w:t>（规定</w:t>
      </w:r>
      <w:r>
        <w:rPr>
          <w:rFonts w:ascii="黑体" w:hAnsi="黑体" w:eastAsia="黑体"/>
          <w:sz w:val="36"/>
          <w:szCs w:val="36"/>
          <w:lang w:val="en-US"/>
        </w:rPr>
        <w:t>性设计</w:t>
      </w:r>
      <w:r>
        <w:rPr>
          <w:rFonts w:hint="eastAsia" w:ascii="黑体" w:hAnsi="黑体" w:eastAsia="黑体"/>
          <w:sz w:val="36"/>
          <w:szCs w:val="36"/>
          <w:lang w:val="en-US"/>
        </w:rPr>
        <w:t>）</w:t>
      </w:r>
    </w:p>
    <w:p w14:paraId="16427D0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B80C50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65636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26077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8D7BF6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hint="eastAsia" w:ascii="宋体" w:hAnsi="宋体"/>
                <w:szCs w:val="21"/>
              </w:rPr>
              <w:t>绿泉逸境——基于地热能利用的鄂西北生态温泉酒店设计</w:t>
            </w:r>
            <w:bookmarkEnd w:id="0"/>
          </w:p>
        </w:tc>
      </w:tr>
      <w:tr w14:paraId="69CCDF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D53E76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8F7D81D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咸宁</w:t>
            </w:r>
            <w:bookmarkEnd w:id="1"/>
          </w:p>
        </w:tc>
      </w:tr>
      <w:tr w14:paraId="16BDF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2FF34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BDDA416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r>
              <w:t>BKA70267</w:t>
            </w:r>
            <w:bookmarkEnd w:id="2"/>
          </w:p>
        </w:tc>
      </w:tr>
      <w:tr w14:paraId="2417F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17AF7B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751E88C">
            <w:pPr>
              <w:rPr>
                <w:rFonts w:ascii="宋体" w:hAnsi="宋体"/>
                <w:szCs w:val="21"/>
              </w:rPr>
            </w:pPr>
            <w:bookmarkStart w:id="3" w:name="建设单位"/>
            <w:r>
              <w:t>湖北文理学院</w:t>
            </w:r>
            <w:bookmarkEnd w:id="3"/>
          </w:p>
        </w:tc>
      </w:tr>
      <w:tr w14:paraId="3295F2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29013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FA62FBB">
            <w:pPr>
              <w:rPr>
                <w:rFonts w:ascii="宋体" w:hAnsi="宋体"/>
                <w:szCs w:val="21"/>
              </w:rPr>
            </w:pPr>
            <w:bookmarkStart w:id="4" w:name="设计单位"/>
            <w:r>
              <w:t>武一帆、关奥梅、陈康宁、钟称福</w:t>
            </w:r>
            <w:bookmarkEnd w:id="4"/>
          </w:p>
        </w:tc>
      </w:tr>
      <w:tr w14:paraId="6C6A0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60813A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BEE99FF">
            <w:pPr>
              <w:rPr>
                <w:rFonts w:ascii="宋体" w:hAnsi="宋体"/>
                <w:szCs w:val="21"/>
              </w:rPr>
            </w:pPr>
          </w:p>
        </w:tc>
      </w:tr>
      <w:tr w14:paraId="466C5F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580EF7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E464D44">
            <w:pPr>
              <w:rPr>
                <w:rFonts w:ascii="宋体" w:hAnsi="宋体"/>
                <w:szCs w:val="21"/>
              </w:rPr>
            </w:pPr>
          </w:p>
        </w:tc>
      </w:tr>
      <w:tr w14:paraId="40F2D7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77F2C0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7E60888">
            <w:pPr>
              <w:rPr>
                <w:rFonts w:ascii="宋体" w:hAnsi="宋体"/>
                <w:szCs w:val="21"/>
              </w:rPr>
            </w:pPr>
          </w:p>
        </w:tc>
      </w:tr>
      <w:tr w14:paraId="4AD51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0949447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2D157C4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2024年12月21日</w:t>
            </w:r>
            <w:bookmarkEnd w:id="5"/>
          </w:p>
        </w:tc>
      </w:tr>
    </w:tbl>
    <w:p w14:paraId="781EA394">
      <w:pPr>
        <w:rPr>
          <w:rFonts w:ascii="宋体" w:hAnsi="宋体"/>
          <w:lang w:val="en-US"/>
        </w:rPr>
      </w:pPr>
    </w:p>
    <w:p w14:paraId="2905A37B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DCDB1">
      <w:pPr>
        <w:rPr>
          <w:rFonts w:ascii="宋体" w:hAnsi="宋体"/>
          <w:lang w:val="en-US"/>
        </w:rPr>
      </w:pPr>
    </w:p>
    <w:p w14:paraId="215707FD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C6F45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9221589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020EB19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住区热环境TERA2024</w:t>
            </w:r>
            <w:bookmarkEnd w:id="7"/>
          </w:p>
        </w:tc>
      </w:tr>
      <w:tr w14:paraId="7EC6AF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3632858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682FEA62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14:paraId="4B6A17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3246D99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BDD4D78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34F3DF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8B3172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2581BC0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T17386668801</w:t>
            </w:r>
            <w:bookmarkEnd w:id="9"/>
          </w:p>
        </w:tc>
      </w:tr>
    </w:tbl>
    <w:p w14:paraId="566A532F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BF8866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E912B3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_Toc16794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_Toc16794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EFCFC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_Toc25540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_Toc25540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8635D2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_Toc20835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_Toc20835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B0E75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_Toc6372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强制条文</w:t>
      </w:r>
      <w:r>
        <w:tab/>
      </w:r>
      <w:r>
        <w:fldChar w:fldCharType="begin"/>
      </w:r>
      <w:r>
        <w:instrText xml:space="preserve"> PAGEREF _Toc6372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061EB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_Toc11062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_Toc11062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058FE0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_Toc11245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_Toc11245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5C13C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_Toc27700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_Toc27700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728FB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_Toc26568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_Toc26568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40D795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_Toc29889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_Toc29889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15E932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_Toc28643 </w:instrText>
      </w:r>
      <w:r>
        <w:fldChar w:fldCharType="separate"/>
      </w:r>
      <w:r>
        <w:rPr>
          <w:rFonts w:hint="eastAsia"/>
        </w:rPr>
        <w:t>6 强制性</w:t>
      </w:r>
      <w:r>
        <w:t>设计指标</w:t>
      </w:r>
      <w:r>
        <w:tab/>
      </w:r>
      <w:r>
        <w:fldChar w:fldCharType="begin"/>
      </w:r>
      <w:r>
        <w:instrText xml:space="preserve"> PAGEREF _Toc28643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0893E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_Toc29898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平均迎风面积比</w:t>
      </w:r>
      <w:r>
        <w:tab/>
      </w:r>
      <w:r>
        <w:fldChar w:fldCharType="begin"/>
      </w:r>
      <w:r>
        <w:instrText xml:space="preserve"> PAGEREF _Toc29898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E8C7E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_Toc11748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活动场地遮阳覆盖率</w:t>
      </w:r>
      <w:r>
        <w:tab/>
      </w:r>
      <w:r>
        <w:fldChar w:fldCharType="begin"/>
      </w:r>
      <w:r>
        <w:instrText xml:space="preserve"> PAGEREF _Toc11748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D630E0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_Toc27414 </w:instrText>
      </w:r>
      <w:r>
        <w:fldChar w:fldCharType="separate"/>
      </w:r>
      <w:r>
        <w:rPr>
          <w:rFonts w:hint="eastAsia"/>
        </w:rPr>
        <w:t>7 规定性设计指标</w:t>
      </w:r>
      <w:r>
        <w:tab/>
      </w:r>
      <w:r>
        <w:fldChar w:fldCharType="begin"/>
      </w:r>
      <w:r>
        <w:instrText xml:space="preserve"> PAGEREF _Toc27414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94414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_Toc31273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_Toc31273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CCABD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_Toc14437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_Toc14437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BDF2C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_Toc15621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_Toc15621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850FD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_Toc11295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_Toc11295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8FBEF9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_Toc30483 </w:instrText>
      </w:r>
      <w:r>
        <w:fldChar w:fldCharType="separate"/>
      </w:r>
      <w:r>
        <w:rPr>
          <w:rFonts w:hint="eastAsia"/>
        </w:rPr>
        <w:t>8 结论</w:t>
      </w:r>
      <w:r>
        <w:tab/>
      </w:r>
      <w:r>
        <w:fldChar w:fldCharType="begin"/>
      </w:r>
      <w:r>
        <w:instrText xml:space="preserve"> PAGEREF _Toc30483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CC313A6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D3D2CE9">
      <w:pPr>
        <w:pStyle w:val="16"/>
      </w:pPr>
    </w:p>
    <w:p w14:paraId="0B4D970A">
      <w:pPr>
        <w:pStyle w:val="2"/>
      </w:pPr>
      <w:bookmarkStart w:id="11" w:name="_Toc16794"/>
      <w:r>
        <w:rPr>
          <w:rFonts w:hint="eastAsia"/>
        </w:rPr>
        <w:t>住区概况</w:t>
      </w:r>
      <w:bookmarkEnd w:id="11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433312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bottom w:val="single" w:color="auto" w:sz="8" w:space="0"/>
            </w:tcBorders>
            <w:shd w:val="clear" w:color="auto" w:fill="E6E6E6"/>
          </w:tcPr>
          <w:p w14:paraId="48C8F1F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279F682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1"/>
            <w:r>
              <w:rPr>
                <w:rFonts w:hint="eastAsia" w:ascii="宋体" w:hAnsi="宋体"/>
              </w:rPr>
              <w:t>绿泉逸境——基于地热能利用的鄂西北生态温泉酒店设计</w:t>
            </w:r>
            <w:bookmarkEnd w:id="12"/>
          </w:p>
        </w:tc>
      </w:tr>
      <w:tr w14:paraId="25357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auto" w:sz="8" w:space="0"/>
            </w:tcBorders>
            <w:shd w:val="clear" w:color="auto" w:fill="E6E6E6"/>
          </w:tcPr>
          <w:p w14:paraId="2DBE0E4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10E3A78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咸宁</w:t>
            </w:r>
            <w:bookmarkEnd w:id="13"/>
          </w:p>
        </w:tc>
      </w:tr>
      <w:tr w14:paraId="3A8DE2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1C5BBA7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601BCF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t>29.88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6E36B83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t>114.28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340CA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0B1B429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035AC5B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气候区"/>
            <w:r>
              <w:t>IIIB</w:t>
            </w:r>
            <w:bookmarkEnd w:id="16"/>
          </w:p>
        </w:tc>
      </w:tr>
      <w:tr w14:paraId="41D28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6F7D69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66808E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主导风向"/>
            <w:r>
              <w:t>南</w:t>
            </w:r>
            <w:bookmarkEnd w:id="17"/>
          </w:p>
        </w:tc>
      </w:tr>
    </w:tbl>
    <w:p w14:paraId="78816920">
      <w:pPr>
        <w:pStyle w:val="3"/>
        <w:ind w:firstLine="420"/>
        <w:rPr>
          <w:lang w:val="en-US"/>
        </w:rPr>
      </w:pPr>
    </w:p>
    <w:p w14:paraId="7416DE9E"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6576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09420">
      <w:pPr>
        <w:pStyle w:val="3"/>
        <w:ind w:firstLine="420"/>
        <w:jc w:val="center"/>
        <w:rPr>
          <w:lang w:val="en-US"/>
        </w:rPr>
      </w:pPr>
      <w:bookmarkStart w:id="19" w:name="OLE_LINK4"/>
      <w:bookmarkStart w:id="20" w:name="OLE_LINK3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19"/>
      <w:bookmarkEnd w:id="20"/>
    </w:p>
    <w:p w14:paraId="7B5FE895">
      <w:pPr>
        <w:pStyle w:val="3"/>
        <w:ind w:firstLine="420"/>
        <w:rPr>
          <w:lang w:val="en-US"/>
        </w:rPr>
      </w:pPr>
    </w:p>
    <w:p w14:paraId="441A6F04">
      <w:pPr>
        <w:pStyle w:val="3"/>
        <w:ind w:firstLine="420"/>
        <w:jc w:val="center"/>
        <w:rPr>
          <w:lang w:val="en-US"/>
        </w:rPr>
      </w:pPr>
      <w:bookmarkStart w:id="21" w:name="总图平面图"/>
      <w:bookmarkEnd w:id="21"/>
      <w:r>
        <w:drawing>
          <wp:inline distT="0" distB="0" distL="0" distR="0">
            <wp:extent cx="5667375" cy="36576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0BB8F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62B46C4A">
      <w:pPr>
        <w:pStyle w:val="2"/>
      </w:pPr>
      <w:bookmarkStart w:id="22" w:name="_Toc25540"/>
      <w:bookmarkStart w:id="23" w:name="TitleFormat"/>
      <w:r>
        <w:rPr>
          <w:rFonts w:hint="eastAsia"/>
        </w:rPr>
        <w:t>设计依据</w:t>
      </w:r>
      <w:bookmarkEnd w:id="22"/>
    </w:p>
    <w:bookmarkEnd w:id="23"/>
    <w:p w14:paraId="69B918E5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bookmarkEnd w:id="24"/>
    </w:p>
    <w:p w14:paraId="6C14FFD3">
      <w:pPr>
        <w:pStyle w:val="2"/>
      </w:pPr>
      <w:bookmarkStart w:id="25" w:name="_Toc20835"/>
      <w:r>
        <w:rPr>
          <w:rFonts w:hint="eastAsia"/>
        </w:rPr>
        <w:t>计算规定</w:t>
      </w:r>
      <w:bookmarkEnd w:id="25"/>
    </w:p>
    <w:p w14:paraId="7B039EC5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3D3EFB12">
      <w:pPr>
        <w:pStyle w:val="4"/>
      </w:pPr>
      <w:bookmarkStart w:id="26" w:name="_Toc6372"/>
      <w:r>
        <w:rPr>
          <w:rFonts w:hint="eastAsia"/>
        </w:rPr>
        <w:t>强制条文</w:t>
      </w:r>
      <w:bookmarkEnd w:id="26"/>
    </w:p>
    <w:p w14:paraId="69AF79AC"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 w14:paraId="679C04AE"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 w14:paraId="731A6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6B4B09FD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5DA5B05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 w14:paraId="50EBB8FF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 w14:paraId="6938CFB9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 w14:paraId="4D506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19EC1768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7367A68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2E354ED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09858A28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6A250FD8"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31407FD7"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 w14:paraId="422B4575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 w14:paraId="1A129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 w14:paraId="6724084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14:paraId="6D023009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 w14:paraId="7C6B7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 w14:paraId="5ACE5E9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2737E4A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 w14:paraId="7ABD273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 w14:paraId="600DB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68F4F0F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10444F0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5ADF0B61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 w14:paraId="46551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1D63A50D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32C6874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5350DC5F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71CC3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1266FC5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5F6134D4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14DE5CA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1FB06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68023759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495E2AD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62B083CA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 w14:paraId="4C8CFCB5">
      <w:pPr>
        <w:pStyle w:val="4"/>
      </w:pPr>
      <w:bookmarkStart w:id="27" w:name="_Toc11062"/>
      <w:r>
        <w:rPr>
          <w:rFonts w:hint="eastAsia"/>
        </w:rPr>
        <w:t>规定性设计</w:t>
      </w:r>
      <w:bookmarkEnd w:id="27"/>
    </w:p>
    <w:p w14:paraId="1F35594A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5A7756B6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22C52BA4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795AECC1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78625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BC7D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877AA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CE6C1B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4A8BB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B366E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CEF9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38D2FB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F53D5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CB2BE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46E11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D2D27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2A443E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F47B9B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AAA8AD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EEC88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7ED91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C8B3F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71ADEA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1B0AF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6CD8A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2F370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CB0547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DDB6B0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3006C6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0BE407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C82D51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758BED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152906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75CFC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0006AB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FD0883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DC5D94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3F32D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AFB73A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9230F3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05307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3B0317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102D7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33980F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A89449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22E4B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8F6D9B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D59519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0EABEB7C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012A10FD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6B941AEC">
      <w:pPr>
        <w:pStyle w:val="2"/>
      </w:pPr>
      <w:bookmarkStart w:id="28" w:name="_Toc11245"/>
      <w:r>
        <w:rPr>
          <w:rFonts w:hint="eastAsia"/>
        </w:rPr>
        <w:t>计算参数</w:t>
      </w:r>
      <w:bookmarkEnd w:id="28"/>
    </w:p>
    <w:p w14:paraId="7D43CD39">
      <w:pPr>
        <w:pStyle w:val="4"/>
      </w:pPr>
      <w:bookmarkStart w:id="29" w:name="_Toc27700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32F44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07AB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时刻</w:t>
            </w:r>
          </w:p>
        </w:tc>
        <w:tc>
          <w:tcPr>
            <w:shd w:val="clear" w:color="auto" w:fill="E6E6E6"/>
            <w:vAlign w:val="center"/>
          </w:tcPr>
          <w:p w14:paraId="51E1A7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干球温度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(℃)</w:t>
            </w:r>
          </w:p>
        </w:tc>
        <w:tc>
          <w:tcPr>
            <w:shd w:val="clear" w:color="auto" w:fill="E6E6E6"/>
            <w:vAlign w:val="center"/>
          </w:tcPr>
          <w:p w14:paraId="37E57C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143F84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水平总辐射照度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(W/㎡)</w:t>
            </w:r>
          </w:p>
        </w:tc>
        <w:tc>
          <w:tcPr>
            <w:shd w:val="clear" w:color="auto" w:fill="E6E6E6"/>
            <w:vAlign w:val="center"/>
          </w:tcPr>
          <w:p w14:paraId="180088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水平散射辐射照度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(W/㎡)</w:t>
            </w:r>
          </w:p>
        </w:tc>
        <w:tc>
          <w:tcPr>
            <w:shd w:val="clear" w:color="auto" w:fill="E6E6E6"/>
            <w:vAlign w:val="center"/>
          </w:tcPr>
          <w:p w14:paraId="25B8F1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风速(m/s)</w:t>
            </w:r>
          </w:p>
        </w:tc>
        <w:tc>
          <w:tcPr>
            <w:shd w:val="clear" w:color="auto" w:fill="E6E6E6"/>
            <w:vAlign w:val="center"/>
          </w:tcPr>
          <w:p w14:paraId="6317A3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主导风向</w:t>
            </w:r>
          </w:p>
        </w:tc>
      </w:tr>
      <w:tr w14:paraId="61F50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41E0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0BAA51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26.6</w:t>
            </w:r>
          </w:p>
        </w:tc>
        <w:tc>
          <w:tcPr>
            <w:vAlign w:val="center"/>
          </w:tcPr>
          <w:p w14:paraId="50C6D4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</w:t>
            </w:r>
          </w:p>
        </w:tc>
        <w:tc>
          <w:tcPr>
            <w:vAlign w:val="center"/>
          </w:tcPr>
          <w:p w14:paraId="3A3CD5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254D4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033E6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vMerge w:val="restart"/>
            <w:vAlign w:val="center"/>
          </w:tcPr>
          <w:p w14:paraId="1E7B8B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南</w:t>
            </w:r>
          </w:p>
        </w:tc>
      </w:tr>
      <w:tr w14:paraId="6B9B0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35FA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6980EA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26.2</w:t>
            </w:r>
          </w:p>
        </w:tc>
        <w:tc>
          <w:tcPr>
            <w:vAlign w:val="center"/>
          </w:tcPr>
          <w:p w14:paraId="0F8661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</w:t>
            </w:r>
          </w:p>
        </w:tc>
        <w:tc>
          <w:tcPr>
            <w:vAlign w:val="center"/>
          </w:tcPr>
          <w:p w14:paraId="220B6C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D0439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0843C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vMerge w:val="continue"/>
            <w:vAlign w:val="center"/>
          </w:tcPr>
          <w:p w14:paraId="4364F6D4">
            <w:pPr>
              <w:jc w:val="center"/>
              <w:rPr>
                <w:sz w:val="21"/>
                <w:szCs w:val="21"/>
              </w:rPr>
            </w:pPr>
          </w:p>
        </w:tc>
      </w:tr>
      <w:tr w14:paraId="1173F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9CF5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12D443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25.9</w:t>
            </w:r>
          </w:p>
        </w:tc>
        <w:tc>
          <w:tcPr>
            <w:vAlign w:val="center"/>
          </w:tcPr>
          <w:p w14:paraId="3DEF9D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</w:t>
            </w:r>
          </w:p>
        </w:tc>
        <w:tc>
          <w:tcPr>
            <w:vAlign w:val="center"/>
          </w:tcPr>
          <w:p w14:paraId="5BD91D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38442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C8760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vMerge w:val="continue"/>
            <w:vAlign w:val="center"/>
          </w:tcPr>
          <w:p w14:paraId="6979AD62">
            <w:pPr>
              <w:jc w:val="center"/>
              <w:rPr>
                <w:sz w:val="21"/>
                <w:szCs w:val="21"/>
              </w:rPr>
            </w:pPr>
          </w:p>
        </w:tc>
      </w:tr>
      <w:tr w14:paraId="40D24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3675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0D8B13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25.7</w:t>
            </w:r>
          </w:p>
        </w:tc>
        <w:tc>
          <w:tcPr>
            <w:vAlign w:val="center"/>
          </w:tcPr>
          <w:p w14:paraId="6F98D6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</w:t>
            </w:r>
          </w:p>
        </w:tc>
        <w:tc>
          <w:tcPr>
            <w:vAlign w:val="center"/>
          </w:tcPr>
          <w:p w14:paraId="7FAD09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79885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CBB25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vMerge w:val="continue"/>
            <w:vAlign w:val="center"/>
          </w:tcPr>
          <w:p w14:paraId="36FFB6C6">
            <w:pPr>
              <w:jc w:val="center"/>
              <w:rPr>
                <w:sz w:val="21"/>
                <w:szCs w:val="21"/>
              </w:rPr>
            </w:pPr>
          </w:p>
        </w:tc>
      </w:tr>
      <w:tr w14:paraId="381F1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2EE7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07ED59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25.6</w:t>
            </w:r>
          </w:p>
        </w:tc>
        <w:tc>
          <w:tcPr>
            <w:vAlign w:val="center"/>
          </w:tcPr>
          <w:p w14:paraId="5C6C5A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</w:t>
            </w:r>
          </w:p>
        </w:tc>
        <w:tc>
          <w:tcPr>
            <w:vAlign w:val="center"/>
          </w:tcPr>
          <w:p w14:paraId="0E2D79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A5A2E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1821C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vMerge w:val="continue"/>
            <w:vAlign w:val="center"/>
          </w:tcPr>
          <w:p w14:paraId="249490DD">
            <w:pPr>
              <w:jc w:val="center"/>
              <w:rPr>
                <w:sz w:val="21"/>
                <w:szCs w:val="21"/>
              </w:rPr>
            </w:pPr>
          </w:p>
        </w:tc>
      </w:tr>
      <w:tr w14:paraId="57ADB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3C6F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 w14:paraId="6B0008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25.7</w:t>
            </w:r>
          </w:p>
        </w:tc>
        <w:tc>
          <w:tcPr>
            <w:vAlign w:val="center"/>
          </w:tcPr>
          <w:p w14:paraId="18B665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</w:t>
            </w:r>
          </w:p>
        </w:tc>
        <w:tc>
          <w:tcPr>
            <w:vAlign w:val="center"/>
          </w:tcPr>
          <w:p w14:paraId="11CBEC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FFCFF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C6464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  <w:tc>
          <w:tcPr>
            <w:vMerge w:val="continue"/>
            <w:vAlign w:val="center"/>
          </w:tcPr>
          <w:p w14:paraId="54F7DCE4">
            <w:pPr>
              <w:jc w:val="center"/>
              <w:rPr>
                <w:sz w:val="21"/>
                <w:szCs w:val="21"/>
              </w:rPr>
            </w:pPr>
          </w:p>
        </w:tc>
      </w:tr>
      <w:tr w14:paraId="19ACB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A797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FE3DD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26.0</w:t>
            </w:r>
          </w:p>
        </w:tc>
        <w:tc>
          <w:tcPr>
            <w:vAlign w:val="center"/>
          </w:tcPr>
          <w:p w14:paraId="4C2FC8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</w:t>
            </w:r>
          </w:p>
        </w:tc>
        <w:tc>
          <w:tcPr>
            <w:vAlign w:val="center"/>
          </w:tcPr>
          <w:p w14:paraId="65957E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100.00</w:t>
            </w:r>
          </w:p>
        </w:tc>
        <w:tc>
          <w:tcPr>
            <w:vAlign w:val="center"/>
          </w:tcPr>
          <w:p w14:paraId="5EAE9D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66.67</w:t>
            </w:r>
          </w:p>
        </w:tc>
        <w:tc>
          <w:tcPr>
            <w:vAlign w:val="center"/>
          </w:tcPr>
          <w:p w14:paraId="03183E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  <w:tc>
          <w:tcPr>
            <w:vMerge w:val="continue"/>
            <w:vAlign w:val="center"/>
          </w:tcPr>
          <w:p w14:paraId="2AFE6FB9">
            <w:pPr>
              <w:jc w:val="center"/>
              <w:rPr>
                <w:sz w:val="21"/>
                <w:szCs w:val="21"/>
              </w:rPr>
            </w:pPr>
          </w:p>
        </w:tc>
      </w:tr>
      <w:tr w14:paraId="0D3E3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2979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 w14:paraId="370761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26.6</w:t>
            </w:r>
          </w:p>
        </w:tc>
        <w:tc>
          <w:tcPr>
            <w:vAlign w:val="center"/>
          </w:tcPr>
          <w:p w14:paraId="7BD0EE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</w:t>
            </w:r>
          </w:p>
        </w:tc>
        <w:tc>
          <w:tcPr>
            <w:vAlign w:val="center"/>
          </w:tcPr>
          <w:p w14:paraId="22629E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222.22</w:t>
            </w:r>
          </w:p>
        </w:tc>
        <w:tc>
          <w:tcPr>
            <w:vAlign w:val="center"/>
          </w:tcPr>
          <w:p w14:paraId="0B9824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127.78</w:t>
            </w:r>
          </w:p>
        </w:tc>
        <w:tc>
          <w:tcPr>
            <w:vAlign w:val="center"/>
          </w:tcPr>
          <w:p w14:paraId="7EC9FB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  <w:tc>
          <w:tcPr>
            <w:vMerge w:val="continue"/>
            <w:vAlign w:val="center"/>
          </w:tcPr>
          <w:p w14:paraId="374272C4">
            <w:pPr>
              <w:jc w:val="center"/>
              <w:rPr>
                <w:sz w:val="21"/>
                <w:szCs w:val="21"/>
              </w:rPr>
            </w:pPr>
          </w:p>
        </w:tc>
      </w:tr>
      <w:tr w14:paraId="6406A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106F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center"/>
          </w:tcPr>
          <w:p w14:paraId="5E8E91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27.4</w:t>
            </w:r>
          </w:p>
        </w:tc>
        <w:tc>
          <w:tcPr>
            <w:vAlign w:val="center"/>
          </w:tcPr>
          <w:p w14:paraId="3FFE6B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</w:t>
            </w:r>
          </w:p>
        </w:tc>
        <w:tc>
          <w:tcPr>
            <w:vAlign w:val="center"/>
          </w:tcPr>
          <w:p w14:paraId="4BC2F0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352.78</w:t>
            </w:r>
          </w:p>
        </w:tc>
        <w:tc>
          <w:tcPr>
            <w:vAlign w:val="center"/>
          </w:tcPr>
          <w:p w14:paraId="48D253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183.33</w:t>
            </w:r>
          </w:p>
        </w:tc>
        <w:tc>
          <w:tcPr>
            <w:vAlign w:val="center"/>
          </w:tcPr>
          <w:p w14:paraId="7876CD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  <w:tc>
          <w:tcPr>
            <w:vMerge w:val="continue"/>
            <w:vAlign w:val="center"/>
          </w:tcPr>
          <w:p w14:paraId="538FC2E5">
            <w:pPr>
              <w:jc w:val="center"/>
              <w:rPr>
                <w:sz w:val="21"/>
                <w:szCs w:val="21"/>
              </w:rPr>
            </w:pPr>
          </w:p>
        </w:tc>
      </w:tr>
      <w:tr w14:paraId="7EACE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1EA8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center"/>
          </w:tcPr>
          <w:p w14:paraId="7ED271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28.3</w:t>
            </w:r>
          </w:p>
        </w:tc>
        <w:tc>
          <w:tcPr>
            <w:vAlign w:val="center"/>
          </w:tcPr>
          <w:p w14:paraId="2164A3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</w:t>
            </w:r>
          </w:p>
        </w:tc>
        <w:tc>
          <w:tcPr>
            <w:vAlign w:val="center"/>
          </w:tcPr>
          <w:p w14:paraId="5691CF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477.78</w:t>
            </w:r>
          </w:p>
        </w:tc>
        <w:tc>
          <w:tcPr>
            <w:vAlign w:val="center"/>
          </w:tcPr>
          <w:p w14:paraId="70EAE3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230.56</w:t>
            </w:r>
          </w:p>
        </w:tc>
        <w:tc>
          <w:tcPr>
            <w:vAlign w:val="center"/>
          </w:tcPr>
          <w:p w14:paraId="282F42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vMerge w:val="continue"/>
            <w:vAlign w:val="center"/>
          </w:tcPr>
          <w:p w14:paraId="77A3D7E5">
            <w:pPr>
              <w:jc w:val="center"/>
              <w:rPr>
                <w:sz w:val="21"/>
                <w:szCs w:val="21"/>
              </w:rPr>
            </w:pPr>
          </w:p>
        </w:tc>
      </w:tr>
      <w:tr w14:paraId="38C77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F00B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center"/>
          </w:tcPr>
          <w:p w14:paraId="53069D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29.2</w:t>
            </w:r>
          </w:p>
        </w:tc>
        <w:tc>
          <w:tcPr>
            <w:vAlign w:val="center"/>
          </w:tcPr>
          <w:p w14:paraId="6BDBC3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</w:t>
            </w:r>
          </w:p>
        </w:tc>
        <w:tc>
          <w:tcPr>
            <w:vAlign w:val="center"/>
          </w:tcPr>
          <w:p w14:paraId="4800CE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580.56</w:t>
            </w:r>
          </w:p>
        </w:tc>
        <w:tc>
          <w:tcPr>
            <w:vAlign w:val="center"/>
          </w:tcPr>
          <w:p w14:paraId="42F7FB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266.67</w:t>
            </w:r>
          </w:p>
        </w:tc>
        <w:tc>
          <w:tcPr>
            <w:vAlign w:val="center"/>
          </w:tcPr>
          <w:p w14:paraId="6CA0E6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vMerge w:val="continue"/>
            <w:vAlign w:val="center"/>
          </w:tcPr>
          <w:p w14:paraId="775CBED7">
            <w:pPr>
              <w:jc w:val="center"/>
              <w:rPr>
                <w:sz w:val="21"/>
                <w:szCs w:val="21"/>
              </w:rPr>
            </w:pPr>
          </w:p>
        </w:tc>
      </w:tr>
      <w:tr w14:paraId="707CB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E967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 w14:paraId="2F903B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30.1</w:t>
            </w:r>
          </w:p>
        </w:tc>
        <w:tc>
          <w:tcPr>
            <w:vAlign w:val="center"/>
          </w:tcPr>
          <w:p w14:paraId="293047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</w:t>
            </w:r>
          </w:p>
        </w:tc>
        <w:tc>
          <w:tcPr>
            <w:vAlign w:val="center"/>
          </w:tcPr>
          <w:p w14:paraId="34C4C1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644.44</w:t>
            </w:r>
          </w:p>
        </w:tc>
        <w:tc>
          <w:tcPr>
            <w:vAlign w:val="center"/>
          </w:tcPr>
          <w:p w14:paraId="6F1862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286.11</w:t>
            </w:r>
          </w:p>
        </w:tc>
        <w:tc>
          <w:tcPr>
            <w:vAlign w:val="center"/>
          </w:tcPr>
          <w:p w14:paraId="43CD21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vMerge w:val="continue"/>
            <w:vAlign w:val="center"/>
          </w:tcPr>
          <w:p w14:paraId="6C458B37">
            <w:pPr>
              <w:jc w:val="center"/>
              <w:rPr>
                <w:sz w:val="21"/>
                <w:szCs w:val="21"/>
              </w:rPr>
            </w:pPr>
          </w:p>
        </w:tc>
      </w:tr>
      <w:tr w14:paraId="0F137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5F04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vAlign w:val="center"/>
          </w:tcPr>
          <w:p w14:paraId="7F23FD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30.8</w:t>
            </w:r>
          </w:p>
        </w:tc>
        <w:tc>
          <w:tcPr>
            <w:vAlign w:val="center"/>
          </w:tcPr>
          <w:p w14:paraId="76CB0E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</w:t>
            </w:r>
          </w:p>
        </w:tc>
        <w:tc>
          <w:tcPr>
            <w:vAlign w:val="center"/>
          </w:tcPr>
          <w:p w14:paraId="0FBD15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658.33</w:t>
            </w:r>
          </w:p>
        </w:tc>
        <w:tc>
          <w:tcPr>
            <w:vAlign w:val="center"/>
          </w:tcPr>
          <w:p w14:paraId="4210B2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291.67</w:t>
            </w:r>
          </w:p>
        </w:tc>
        <w:tc>
          <w:tcPr>
            <w:vAlign w:val="center"/>
          </w:tcPr>
          <w:p w14:paraId="226005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  <w:tc>
          <w:tcPr>
            <w:vMerge w:val="continue"/>
            <w:vAlign w:val="center"/>
          </w:tcPr>
          <w:p w14:paraId="7DD2855D">
            <w:pPr>
              <w:jc w:val="center"/>
              <w:rPr>
                <w:sz w:val="21"/>
                <w:szCs w:val="21"/>
              </w:rPr>
            </w:pPr>
          </w:p>
        </w:tc>
      </w:tr>
      <w:tr w14:paraId="27195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0381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center"/>
          </w:tcPr>
          <w:p w14:paraId="4ED59A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31.1</w:t>
            </w:r>
          </w:p>
        </w:tc>
        <w:tc>
          <w:tcPr>
            <w:vAlign w:val="center"/>
          </w:tcPr>
          <w:p w14:paraId="407542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</w:t>
            </w:r>
          </w:p>
        </w:tc>
        <w:tc>
          <w:tcPr>
            <w:vAlign w:val="center"/>
          </w:tcPr>
          <w:p w14:paraId="602B54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622.22</w:t>
            </w:r>
          </w:p>
        </w:tc>
        <w:tc>
          <w:tcPr>
            <w:vAlign w:val="center"/>
          </w:tcPr>
          <w:p w14:paraId="028E9D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280.56</w:t>
            </w:r>
          </w:p>
        </w:tc>
        <w:tc>
          <w:tcPr>
            <w:vAlign w:val="center"/>
          </w:tcPr>
          <w:p w14:paraId="1D48BF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  <w:tc>
          <w:tcPr>
            <w:vMerge w:val="continue"/>
            <w:vAlign w:val="center"/>
          </w:tcPr>
          <w:p w14:paraId="2EA1523F">
            <w:pPr>
              <w:jc w:val="center"/>
              <w:rPr>
                <w:sz w:val="21"/>
                <w:szCs w:val="21"/>
              </w:rPr>
            </w:pPr>
          </w:p>
        </w:tc>
      </w:tr>
      <w:tr w14:paraId="73F18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E241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vAlign w:val="center"/>
          </w:tcPr>
          <w:p w14:paraId="7D5BA7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31.0</w:t>
            </w:r>
          </w:p>
        </w:tc>
        <w:tc>
          <w:tcPr>
            <w:vAlign w:val="center"/>
          </w:tcPr>
          <w:p w14:paraId="66094F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</w:t>
            </w:r>
          </w:p>
        </w:tc>
        <w:tc>
          <w:tcPr>
            <w:vAlign w:val="center"/>
          </w:tcPr>
          <w:p w14:paraId="7C91F7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541.67</w:t>
            </w:r>
          </w:p>
        </w:tc>
        <w:tc>
          <w:tcPr>
            <w:vAlign w:val="center"/>
          </w:tcPr>
          <w:p w14:paraId="422EB7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252.78</w:t>
            </w:r>
          </w:p>
        </w:tc>
        <w:tc>
          <w:tcPr>
            <w:vAlign w:val="center"/>
          </w:tcPr>
          <w:p w14:paraId="1DF819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  <w:tc>
          <w:tcPr>
            <w:vMerge w:val="continue"/>
            <w:vAlign w:val="center"/>
          </w:tcPr>
          <w:p w14:paraId="5D8C1FFF">
            <w:pPr>
              <w:jc w:val="center"/>
              <w:rPr>
                <w:sz w:val="21"/>
                <w:szCs w:val="21"/>
              </w:rPr>
            </w:pPr>
          </w:p>
        </w:tc>
      </w:tr>
      <w:tr w14:paraId="3DCFF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3D8F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center"/>
          </w:tcPr>
          <w:p w14:paraId="059818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30.7</w:t>
            </w:r>
          </w:p>
        </w:tc>
        <w:tc>
          <w:tcPr>
            <w:vAlign w:val="center"/>
          </w:tcPr>
          <w:p w14:paraId="435AB2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</w:t>
            </w:r>
          </w:p>
        </w:tc>
        <w:tc>
          <w:tcPr>
            <w:vAlign w:val="center"/>
          </w:tcPr>
          <w:p w14:paraId="7D17D1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427.78</w:t>
            </w:r>
          </w:p>
        </w:tc>
        <w:tc>
          <w:tcPr>
            <w:vAlign w:val="center"/>
          </w:tcPr>
          <w:p w14:paraId="2C6FA1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211.11</w:t>
            </w:r>
          </w:p>
        </w:tc>
        <w:tc>
          <w:tcPr>
            <w:vAlign w:val="center"/>
          </w:tcPr>
          <w:p w14:paraId="30EE4C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  <w:tc>
          <w:tcPr>
            <w:vMerge w:val="continue"/>
            <w:vAlign w:val="center"/>
          </w:tcPr>
          <w:p w14:paraId="7E83479F">
            <w:pPr>
              <w:jc w:val="center"/>
              <w:rPr>
                <w:sz w:val="21"/>
                <w:szCs w:val="21"/>
              </w:rPr>
            </w:pPr>
          </w:p>
        </w:tc>
      </w:tr>
      <w:tr w14:paraId="10C6D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996C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 w14:paraId="5EB4C1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30.1</w:t>
            </w:r>
          </w:p>
        </w:tc>
        <w:tc>
          <w:tcPr>
            <w:vAlign w:val="center"/>
          </w:tcPr>
          <w:p w14:paraId="5A3586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</w:t>
            </w:r>
          </w:p>
        </w:tc>
        <w:tc>
          <w:tcPr>
            <w:vAlign w:val="center"/>
          </w:tcPr>
          <w:p w14:paraId="515E5C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300.00</w:t>
            </w:r>
          </w:p>
        </w:tc>
        <w:tc>
          <w:tcPr>
            <w:vAlign w:val="center"/>
          </w:tcPr>
          <w:p w14:paraId="4DAC53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161.11</w:t>
            </w:r>
          </w:p>
        </w:tc>
        <w:tc>
          <w:tcPr>
            <w:vAlign w:val="center"/>
          </w:tcPr>
          <w:p w14:paraId="1716E6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  <w:tc>
          <w:tcPr>
            <w:vMerge w:val="continue"/>
            <w:vAlign w:val="center"/>
          </w:tcPr>
          <w:p w14:paraId="185221A6">
            <w:pPr>
              <w:jc w:val="center"/>
              <w:rPr>
                <w:sz w:val="21"/>
                <w:szCs w:val="21"/>
              </w:rPr>
            </w:pPr>
          </w:p>
        </w:tc>
      </w:tr>
      <w:tr w14:paraId="1B5E2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E7CD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vAlign w:val="center"/>
          </w:tcPr>
          <w:p w14:paraId="6CDE3D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29.4</w:t>
            </w:r>
          </w:p>
        </w:tc>
        <w:tc>
          <w:tcPr>
            <w:vAlign w:val="center"/>
          </w:tcPr>
          <w:p w14:paraId="20460C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</w:t>
            </w:r>
          </w:p>
        </w:tc>
        <w:tc>
          <w:tcPr>
            <w:vAlign w:val="center"/>
          </w:tcPr>
          <w:p w14:paraId="25746C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169.44</w:t>
            </w:r>
          </w:p>
        </w:tc>
        <w:tc>
          <w:tcPr>
            <w:vAlign w:val="center"/>
          </w:tcPr>
          <w:p w14:paraId="2E0F33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100.00</w:t>
            </w:r>
          </w:p>
        </w:tc>
        <w:tc>
          <w:tcPr>
            <w:vAlign w:val="center"/>
          </w:tcPr>
          <w:p w14:paraId="77B31F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  <w:tc>
          <w:tcPr>
            <w:vMerge w:val="continue"/>
            <w:vAlign w:val="center"/>
          </w:tcPr>
          <w:p w14:paraId="475D34A6">
            <w:pPr>
              <w:jc w:val="center"/>
              <w:rPr>
                <w:sz w:val="21"/>
                <w:szCs w:val="21"/>
              </w:rPr>
            </w:pPr>
          </w:p>
        </w:tc>
      </w:tr>
      <w:tr w14:paraId="4DC4A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C2CA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Align w:val="center"/>
          </w:tcPr>
          <w:p w14:paraId="272EE9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28.7</w:t>
            </w:r>
          </w:p>
        </w:tc>
        <w:tc>
          <w:tcPr>
            <w:vAlign w:val="center"/>
          </w:tcPr>
          <w:p w14:paraId="7C6652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</w:t>
            </w:r>
          </w:p>
        </w:tc>
        <w:tc>
          <w:tcPr>
            <w:vAlign w:val="center"/>
          </w:tcPr>
          <w:p w14:paraId="51D10D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55.56</w:t>
            </w:r>
          </w:p>
        </w:tc>
        <w:tc>
          <w:tcPr>
            <w:vAlign w:val="center"/>
          </w:tcPr>
          <w:p w14:paraId="09845D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36.11</w:t>
            </w:r>
          </w:p>
        </w:tc>
        <w:tc>
          <w:tcPr>
            <w:vAlign w:val="center"/>
          </w:tcPr>
          <w:p w14:paraId="19B748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  <w:tc>
          <w:tcPr>
            <w:vMerge w:val="continue"/>
            <w:vAlign w:val="center"/>
          </w:tcPr>
          <w:p w14:paraId="0680446B">
            <w:pPr>
              <w:jc w:val="center"/>
              <w:rPr>
                <w:sz w:val="21"/>
                <w:szCs w:val="21"/>
              </w:rPr>
            </w:pPr>
          </w:p>
        </w:tc>
      </w:tr>
      <w:tr w14:paraId="4F21A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4697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vAlign w:val="center"/>
          </w:tcPr>
          <w:p w14:paraId="39B547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28.1</w:t>
            </w:r>
          </w:p>
        </w:tc>
        <w:tc>
          <w:tcPr>
            <w:vAlign w:val="center"/>
          </w:tcPr>
          <w:p w14:paraId="030C88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</w:t>
            </w:r>
          </w:p>
        </w:tc>
        <w:tc>
          <w:tcPr>
            <w:vAlign w:val="center"/>
          </w:tcPr>
          <w:p w14:paraId="2515B6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AEC63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86A84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  <w:tc>
          <w:tcPr>
            <w:vMerge w:val="continue"/>
            <w:vAlign w:val="center"/>
          </w:tcPr>
          <w:p w14:paraId="66FAD940">
            <w:pPr>
              <w:jc w:val="center"/>
              <w:rPr>
                <w:sz w:val="21"/>
                <w:szCs w:val="21"/>
              </w:rPr>
            </w:pPr>
          </w:p>
        </w:tc>
      </w:tr>
      <w:tr w14:paraId="30ABD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B517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vAlign w:val="center"/>
          </w:tcPr>
          <w:p w14:paraId="678F47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27.7</w:t>
            </w:r>
          </w:p>
        </w:tc>
        <w:tc>
          <w:tcPr>
            <w:vAlign w:val="center"/>
          </w:tcPr>
          <w:p w14:paraId="29FA14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</w:t>
            </w:r>
          </w:p>
        </w:tc>
        <w:tc>
          <w:tcPr>
            <w:vAlign w:val="center"/>
          </w:tcPr>
          <w:p w14:paraId="659B7B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3768E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A117C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  <w:tc>
          <w:tcPr>
            <w:vMerge w:val="continue"/>
            <w:vAlign w:val="center"/>
          </w:tcPr>
          <w:p w14:paraId="47440CF0">
            <w:pPr>
              <w:jc w:val="center"/>
              <w:rPr>
                <w:sz w:val="21"/>
                <w:szCs w:val="21"/>
              </w:rPr>
            </w:pPr>
          </w:p>
        </w:tc>
      </w:tr>
      <w:tr w14:paraId="12E2E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28C8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vAlign w:val="center"/>
          </w:tcPr>
          <w:p w14:paraId="569A72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27.5</w:t>
            </w:r>
          </w:p>
        </w:tc>
        <w:tc>
          <w:tcPr>
            <w:vAlign w:val="center"/>
          </w:tcPr>
          <w:p w14:paraId="57EA3A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</w:t>
            </w:r>
          </w:p>
        </w:tc>
        <w:tc>
          <w:tcPr>
            <w:vAlign w:val="center"/>
          </w:tcPr>
          <w:p w14:paraId="20F13E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2133A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3FA33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  <w:tc>
          <w:tcPr>
            <w:vMerge w:val="continue"/>
            <w:vAlign w:val="center"/>
          </w:tcPr>
          <w:p w14:paraId="06896FE1">
            <w:pPr>
              <w:jc w:val="center"/>
              <w:rPr>
                <w:sz w:val="21"/>
                <w:szCs w:val="21"/>
              </w:rPr>
            </w:pPr>
          </w:p>
        </w:tc>
      </w:tr>
      <w:tr w14:paraId="317FF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64A3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vAlign w:val="center"/>
          </w:tcPr>
          <w:p w14:paraId="22AAAB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27.4</w:t>
            </w:r>
          </w:p>
        </w:tc>
        <w:tc>
          <w:tcPr>
            <w:vAlign w:val="center"/>
          </w:tcPr>
          <w:p w14:paraId="793018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</w:t>
            </w:r>
          </w:p>
        </w:tc>
        <w:tc>
          <w:tcPr>
            <w:vAlign w:val="center"/>
          </w:tcPr>
          <w:p w14:paraId="4E1B1E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4839B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4FF12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  <w:tc>
          <w:tcPr>
            <w:vMerge w:val="continue"/>
            <w:vAlign w:val="center"/>
          </w:tcPr>
          <w:p w14:paraId="143F9322">
            <w:pPr>
              <w:jc w:val="center"/>
              <w:rPr>
                <w:sz w:val="21"/>
                <w:szCs w:val="21"/>
              </w:rPr>
            </w:pPr>
          </w:p>
        </w:tc>
      </w:tr>
      <w:tr w14:paraId="74593A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7BC5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vAlign w:val="center"/>
          </w:tcPr>
          <w:p w14:paraId="087782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27.4</w:t>
            </w:r>
          </w:p>
        </w:tc>
        <w:tc>
          <w:tcPr>
            <w:vAlign w:val="center"/>
          </w:tcPr>
          <w:p w14:paraId="7E6C72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</w:t>
            </w:r>
          </w:p>
        </w:tc>
        <w:tc>
          <w:tcPr>
            <w:vAlign w:val="center"/>
          </w:tcPr>
          <w:p w14:paraId="45D680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3953F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CEA03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vMerge w:val="continue"/>
            <w:vAlign w:val="center"/>
          </w:tcPr>
          <w:p w14:paraId="29BE5540">
            <w:pPr>
              <w:jc w:val="center"/>
              <w:rPr>
                <w:sz w:val="21"/>
                <w:szCs w:val="21"/>
              </w:rPr>
            </w:pPr>
          </w:p>
        </w:tc>
      </w:tr>
      <w:tr w14:paraId="4A1AB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9769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日平均</w:t>
            </w:r>
          </w:p>
        </w:tc>
        <w:tc>
          <w:tcPr>
            <w:vAlign w:val="center"/>
          </w:tcPr>
          <w:p w14:paraId="74E37D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28.1</w:t>
            </w:r>
          </w:p>
        </w:tc>
        <w:tc>
          <w:tcPr>
            <w:vAlign w:val="center"/>
          </w:tcPr>
          <w:p w14:paraId="302863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</w:t>
            </w:r>
          </w:p>
        </w:tc>
        <w:tc>
          <w:tcPr>
            <w:vAlign w:val="center"/>
          </w:tcPr>
          <w:p w14:paraId="698078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214.70</w:t>
            </w:r>
          </w:p>
        </w:tc>
        <w:tc>
          <w:tcPr>
            <w:vAlign w:val="center"/>
          </w:tcPr>
          <w:p w14:paraId="33B21E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103.94</w:t>
            </w:r>
          </w:p>
        </w:tc>
        <w:tc>
          <w:tcPr>
            <w:vAlign w:val="center"/>
          </w:tcPr>
          <w:p w14:paraId="560E8F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</w:t>
            </w:r>
          </w:p>
        </w:tc>
        <w:tc>
          <w:tcPr>
            <w:vMerge w:val="continue"/>
            <w:vAlign w:val="center"/>
          </w:tcPr>
          <w:p w14:paraId="0C78EDB6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9CF77E4"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 w14:paraId="0C2830F4">
      <w:pPr>
        <w:pStyle w:val="4"/>
      </w:pPr>
      <w:bookmarkStart w:id="31" w:name="_Toc26568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1FF0F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0FDA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时刻</w:t>
            </w:r>
          </w:p>
        </w:tc>
        <w:tc>
          <w:tcPr>
            <w:shd w:val="clear" w:color="auto" w:fill="E6E6E6"/>
            <w:vAlign w:val="center"/>
          </w:tcPr>
          <w:p w14:paraId="2D3FC2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65120C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45CDFD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渗透型硬地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(kg/(㎡.h))</w:t>
            </w:r>
          </w:p>
        </w:tc>
        <w:tc>
          <w:tcPr>
            <w:shd w:val="clear" w:color="auto" w:fill="E6E6E6"/>
            <w:vAlign w:val="center"/>
          </w:tcPr>
          <w:p w14:paraId="3874D1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绿化屋面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(kg/(㎡.h))</w:t>
            </w:r>
          </w:p>
        </w:tc>
      </w:tr>
      <w:tr w14:paraId="47E9F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4DFB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210385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400038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0.24</w:t>
            </w:r>
          </w:p>
        </w:tc>
        <w:tc>
          <w:tcPr>
            <w:vAlign w:val="center"/>
          </w:tcPr>
          <w:p w14:paraId="3D8E48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7805B3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</w:t>
            </w:r>
          </w:p>
        </w:tc>
      </w:tr>
      <w:tr w14:paraId="10FAC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35B9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69B023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1672A9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</w:t>
            </w:r>
          </w:p>
        </w:tc>
        <w:tc>
          <w:tcPr>
            <w:vAlign w:val="center"/>
          </w:tcPr>
          <w:p w14:paraId="0ABC45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  <w:tc>
          <w:tcPr>
            <w:vAlign w:val="center"/>
          </w:tcPr>
          <w:p w14:paraId="065474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</w:tr>
      <w:tr w14:paraId="35733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4DD0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347B7C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791173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  <w:tc>
          <w:tcPr>
            <w:vAlign w:val="center"/>
          </w:tcPr>
          <w:p w14:paraId="3E912B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  <w:tc>
          <w:tcPr>
            <w:vAlign w:val="center"/>
          </w:tcPr>
          <w:p w14:paraId="14B558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</w:tr>
      <w:tr w14:paraId="6B4A1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5A77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5B45C8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34E8C3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2AD92F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6EC7AC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</w:tr>
      <w:tr w14:paraId="5C518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3BF5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28F1BE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3EE850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</w:t>
            </w:r>
          </w:p>
        </w:tc>
        <w:tc>
          <w:tcPr>
            <w:vAlign w:val="center"/>
          </w:tcPr>
          <w:p w14:paraId="5A91CB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6AB040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</w:tr>
      <w:tr w14:paraId="1E2C0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A0C5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 w14:paraId="74CAC4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5AE4C9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  <w:tc>
          <w:tcPr>
            <w:vAlign w:val="center"/>
          </w:tcPr>
          <w:p w14:paraId="684729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2230A6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</w:t>
            </w:r>
          </w:p>
        </w:tc>
      </w:tr>
      <w:tr w14:paraId="65621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D73B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DC6D0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</w:t>
            </w:r>
          </w:p>
        </w:tc>
        <w:tc>
          <w:tcPr>
            <w:vAlign w:val="center"/>
          </w:tcPr>
          <w:p w14:paraId="4B07EE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  <w:tc>
          <w:tcPr>
            <w:vAlign w:val="center"/>
          </w:tcPr>
          <w:p w14:paraId="7954E9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4D1486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</w:t>
            </w:r>
          </w:p>
        </w:tc>
      </w:tr>
      <w:tr w14:paraId="3B270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45D0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 w14:paraId="2D3428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0.34</w:t>
            </w:r>
          </w:p>
        </w:tc>
        <w:tc>
          <w:tcPr>
            <w:vAlign w:val="center"/>
          </w:tcPr>
          <w:p w14:paraId="1277CD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0.33</w:t>
            </w:r>
          </w:p>
        </w:tc>
        <w:tc>
          <w:tcPr>
            <w:vAlign w:val="center"/>
          </w:tcPr>
          <w:p w14:paraId="436A81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458DCA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0.26</w:t>
            </w:r>
          </w:p>
        </w:tc>
      </w:tr>
      <w:tr w14:paraId="621FC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55C3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center"/>
          </w:tcPr>
          <w:p w14:paraId="29B596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0.52</w:t>
            </w:r>
          </w:p>
        </w:tc>
        <w:tc>
          <w:tcPr>
            <w:vAlign w:val="center"/>
          </w:tcPr>
          <w:p w14:paraId="3FDF4A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0.43</w:t>
            </w:r>
          </w:p>
        </w:tc>
        <w:tc>
          <w:tcPr>
            <w:vAlign w:val="center"/>
          </w:tcPr>
          <w:p w14:paraId="0E9BF4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723FB1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0.34</w:t>
            </w:r>
          </w:p>
        </w:tc>
      </w:tr>
      <w:tr w14:paraId="2C6F8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3D23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center"/>
          </w:tcPr>
          <w:p w14:paraId="335BC2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0.75</w:t>
            </w:r>
          </w:p>
        </w:tc>
        <w:tc>
          <w:tcPr>
            <w:vAlign w:val="center"/>
          </w:tcPr>
          <w:p w14:paraId="6139A1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0.53</w:t>
            </w:r>
          </w:p>
        </w:tc>
        <w:tc>
          <w:tcPr>
            <w:vAlign w:val="center"/>
          </w:tcPr>
          <w:p w14:paraId="45B2F6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161D43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0.42</w:t>
            </w:r>
          </w:p>
        </w:tc>
      </w:tr>
      <w:tr w14:paraId="1A6F3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3474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center"/>
          </w:tcPr>
          <w:p w14:paraId="0BD3F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0.89</w:t>
            </w:r>
          </w:p>
        </w:tc>
        <w:tc>
          <w:tcPr>
            <w:vAlign w:val="center"/>
          </w:tcPr>
          <w:p w14:paraId="779EB5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0.55</w:t>
            </w:r>
          </w:p>
        </w:tc>
        <w:tc>
          <w:tcPr>
            <w:vAlign w:val="center"/>
          </w:tcPr>
          <w:p w14:paraId="0BE9F0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3D8D83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0.44</w:t>
            </w:r>
          </w:p>
        </w:tc>
      </w:tr>
      <w:tr w14:paraId="67CA9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6954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 w14:paraId="0DEBBD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1.05</w:t>
            </w:r>
          </w:p>
        </w:tc>
        <w:tc>
          <w:tcPr>
            <w:vAlign w:val="center"/>
          </w:tcPr>
          <w:p w14:paraId="1371B5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0.54</w:t>
            </w:r>
          </w:p>
        </w:tc>
        <w:tc>
          <w:tcPr>
            <w:vAlign w:val="center"/>
          </w:tcPr>
          <w:p w14:paraId="38059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48550E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0.43</w:t>
            </w:r>
          </w:p>
        </w:tc>
      </w:tr>
      <w:tr w14:paraId="6AD8C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97A0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vAlign w:val="center"/>
          </w:tcPr>
          <w:p w14:paraId="673653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1.11</w:t>
            </w:r>
          </w:p>
        </w:tc>
        <w:tc>
          <w:tcPr>
            <w:vAlign w:val="center"/>
          </w:tcPr>
          <w:p w14:paraId="01E62F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0.50</w:t>
            </w:r>
          </w:p>
        </w:tc>
        <w:tc>
          <w:tcPr>
            <w:vAlign w:val="center"/>
          </w:tcPr>
          <w:p w14:paraId="0B700D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6CCD4C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0.40</w:t>
            </w:r>
          </w:p>
        </w:tc>
      </w:tr>
      <w:tr w14:paraId="0BC39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FAF4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center"/>
          </w:tcPr>
          <w:p w14:paraId="03E9F0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1.03</w:t>
            </w:r>
          </w:p>
        </w:tc>
        <w:tc>
          <w:tcPr>
            <w:vAlign w:val="center"/>
          </w:tcPr>
          <w:p w14:paraId="17DB64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0.43</w:t>
            </w:r>
          </w:p>
        </w:tc>
        <w:tc>
          <w:tcPr>
            <w:vAlign w:val="center"/>
          </w:tcPr>
          <w:p w14:paraId="0A0ADA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6FB3C0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0.35</w:t>
            </w:r>
          </w:p>
        </w:tc>
      </w:tr>
      <w:tr w14:paraId="28171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AEBC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vAlign w:val="center"/>
          </w:tcPr>
          <w:p w14:paraId="61D209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0.92</w:t>
            </w:r>
          </w:p>
        </w:tc>
        <w:tc>
          <w:tcPr>
            <w:vAlign w:val="center"/>
          </w:tcPr>
          <w:p w14:paraId="14E05F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0.34</w:t>
            </w:r>
          </w:p>
        </w:tc>
        <w:tc>
          <w:tcPr>
            <w:vAlign w:val="center"/>
          </w:tcPr>
          <w:p w14:paraId="4BD598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  <w:tc>
          <w:tcPr>
            <w:vAlign w:val="center"/>
          </w:tcPr>
          <w:p w14:paraId="258C06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0.27</w:t>
            </w:r>
          </w:p>
        </w:tc>
      </w:tr>
      <w:tr w14:paraId="1DE2D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2607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center"/>
          </w:tcPr>
          <w:p w14:paraId="65F63A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0.78</w:t>
            </w:r>
          </w:p>
        </w:tc>
        <w:tc>
          <w:tcPr>
            <w:vAlign w:val="center"/>
          </w:tcPr>
          <w:p w14:paraId="0A1AF9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0.29</w:t>
            </w:r>
          </w:p>
        </w:tc>
        <w:tc>
          <w:tcPr>
            <w:vAlign w:val="center"/>
          </w:tcPr>
          <w:p w14:paraId="12FB06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  <w:tc>
          <w:tcPr>
            <w:vAlign w:val="center"/>
          </w:tcPr>
          <w:p w14:paraId="0947C5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0.23</w:t>
            </w:r>
          </w:p>
        </w:tc>
      </w:tr>
      <w:tr w14:paraId="78A4A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C96E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 w14:paraId="1E9068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0.60</w:t>
            </w:r>
          </w:p>
        </w:tc>
        <w:tc>
          <w:tcPr>
            <w:vAlign w:val="center"/>
          </w:tcPr>
          <w:p w14:paraId="5FD9D8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  <w:tc>
          <w:tcPr>
            <w:vAlign w:val="center"/>
          </w:tcPr>
          <w:p w14:paraId="3C993D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  <w:tc>
          <w:tcPr>
            <w:vAlign w:val="center"/>
          </w:tcPr>
          <w:p w14:paraId="1CE6A3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</w:t>
            </w:r>
          </w:p>
        </w:tc>
      </w:tr>
      <w:tr w14:paraId="57633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C4D8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vAlign w:val="center"/>
          </w:tcPr>
          <w:p w14:paraId="2DBE80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0.39</w:t>
            </w:r>
          </w:p>
        </w:tc>
        <w:tc>
          <w:tcPr>
            <w:vAlign w:val="center"/>
          </w:tcPr>
          <w:p w14:paraId="3FBE88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  <w:tc>
          <w:tcPr>
            <w:vAlign w:val="center"/>
          </w:tcPr>
          <w:p w14:paraId="0BC88E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</w:t>
            </w:r>
          </w:p>
        </w:tc>
        <w:tc>
          <w:tcPr>
            <w:vAlign w:val="center"/>
          </w:tcPr>
          <w:p w14:paraId="414650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</w:t>
            </w:r>
          </w:p>
        </w:tc>
      </w:tr>
      <w:tr w14:paraId="03F62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6763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Align w:val="center"/>
          </w:tcPr>
          <w:p w14:paraId="2E74FD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  <w:tc>
          <w:tcPr>
            <w:vAlign w:val="center"/>
          </w:tcPr>
          <w:p w14:paraId="560912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54BCAC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</w:t>
            </w:r>
          </w:p>
        </w:tc>
        <w:tc>
          <w:tcPr>
            <w:vAlign w:val="center"/>
          </w:tcPr>
          <w:p w14:paraId="2839A4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</w:tr>
      <w:tr w14:paraId="38560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19A7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vAlign w:val="center"/>
          </w:tcPr>
          <w:p w14:paraId="66548D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</w:t>
            </w:r>
          </w:p>
        </w:tc>
        <w:tc>
          <w:tcPr>
            <w:vAlign w:val="center"/>
          </w:tcPr>
          <w:p w14:paraId="468B59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13BAC9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23B930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</w:tr>
      <w:tr w14:paraId="0AECC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A9BE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vAlign w:val="center"/>
          </w:tcPr>
          <w:p w14:paraId="5DDD6C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  <w:tc>
          <w:tcPr>
            <w:vAlign w:val="center"/>
          </w:tcPr>
          <w:p w14:paraId="6B1BBA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18E5E7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78619E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</w:tr>
      <w:tr w14:paraId="73E8F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9DFC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vAlign w:val="center"/>
          </w:tcPr>
          <w:p w14:paraId="545E0D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6528CF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7015F1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DB43E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</w:tr>
      <w:tr w14:paraId="4B4E8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7E07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vAlign w:val="center"/>
          </w:tcPr>
          <w:p w14:paraId="75FF97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  <w:tc>
          <w:tcPr>
            <w:vAlign w:val="center"/>
          </w:tcPr>
          <w:p w14:paraId="00B40E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044548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6DD36E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</w:tr>
      <w:tr w14:paraId="03793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630A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vAlign w:val="center"/>
          </w:tcPr>
          <w:p w14:paraId="6B2BE4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  <w:tc>
          <w:tcPr>
            <w:vAlign w:val="center"/>
          </w:tcPr>
          <w:p w14:paraId="468E83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7DAED6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95A9C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</w:tr>
      <w:tr w14:paraId="6D10E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6DC5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日累计(kg/(㎡.d))</w:t>
            </w:r>
          </w:p>
        </w:tc>
        <w:tc>
          <w:tcPr>
            <w:vAlign w:val="center"/>
          </w:tcPr>
          <w:p w14:paraId="590861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10.06</w:t>
            </w:r>
          </w:p>
        </w:tc>
        <w:tc>
          <w:tcPr>
            <w:vAlign w:val="center"/>
          </w:tcPr>
          <w:p w14:paraId="6DDCD8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6.03</w:t>
            </w:r>
          </w:p>
        </w:tc>
        <w:tc>
          <w:tcPr>
            <w:vAlign w:val="center"/>
          </w:tcPr>
          <w:p w14:paraId="0B0AB4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1.30</w:t>
            </w:r>
          </w:p>
        </w:tc>
        <w:tc>
          <w:tcPr>
            <w:vAlign w:val="center"/>
          </w:tcPr>
          <w:p w14:paraId="163E08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4.80</w:t>
            </w:r>
          </w:p>
        </w:tc>
      </w:tr>
    </w:tbl>
    <w:p w14:paraId="28428B89"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 w14:paraId="7D7A9524">
      <w:pPr>
        <w:pStyle w:val="2"/>
      </w:pPr>
      <w:bookmarkStart w:id="33" w:name="_Toc29889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0B77B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9787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005834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</w:tr>
      <w:tr w14:paraId="469B4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7EA0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地块面积(㎡)</w:t>
            </w:r>
          </w:p>
        </w:tc>
        <w:tc>
          <w:tcPr>
            <w:vAlign w:val="center"/>
          </w:tcPr>
          <w:p w14:paraId="026CA7F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33962.70</w:t>
            </w:r>
          </w:p>
        </w:tc>
      </w:tr>
      <w:tr w14:paraId="61E79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6E5E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建筑密度</w:t>
            </w:r>
          </w:p>
        </w:tc>
        <w:tc>
          <w:tcPr>
            <w:vAlign w:val="center"/>
          </w:tcPr>
          <w:p w14:paraId="47B1B4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</w:tr>
      <w:tr w14:paraId="691A0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C0EC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室外面积(㎡)</w:t>
            </w:r>
          </w:p>
        </w:tc>
        <w:tc>
          <w:tcPr>
            <w:vAlign w:val="center"/>
          </w:tcPr>
          <w:p w14:paraId="5945E2E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31882.30</w:t>
            </w:r>
          </w:p>
        </w:tc>
      </w:tr>
      <w:tr w14:paraId="52023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F8C1E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广场面积(㎡)</w:t>
            </w:r>
          </w:p>
        </w:tc>
        <w:tc>
          <w:tcPr>
            <w:vAlign w:val="center"/>
          </w:tcPr>
          <w:p w14:paraId="69323A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645.03</w:t>
            </w:r>
          </w:p>
        </w:tc>
      </w:tr>
      <w:tr w14:paraId="779AC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247C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道路面积(㎡)</w:t>
            </w:r>
          </w:p>
        </w:tc>
        <w:tc>
          <w:tcPr>
            <w:vAlign w:val="center"/>
          </w:tcPr>
          <w:p w14:paraId="0489D63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3095.96</w:t>
            </w:r>
          </w:p>
        </w:tc>
      </w:tr>
      <w:tr w14:paraId="34CCA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49B98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绿地面积(㎡)</w:t>
            </w:r>
          </w:p>
        </w:tc>
        <w:tc>
          <w:tcPr>
            <w:vAlign w:val="center"/>
          </w:tcPr>
          <w:p w14:paraId="74DC37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7917.38</w:t>
            </w:r>
          </w:p>
        </w:tc>
      </w:tr>
      <w:tr w14:paraId="0B907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B362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水面面积(㎡)</w:t>
            </w:r>
          </w:p>
        </w:tc>
        <w:tc>
          <w:tcPr>
            <w:vAlign w:val="center"/>
          </w:tcPr>
          <w:p w14:paraId="3A3DF6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00611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50A24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绿化屋面面积(㎡)</w:t>
            </w:r>
          </w:p>
        </w:tc>
        <w:tc>
          <w:tcPr>
            <w:vAlign w:val="center"/>
          </w:tcPr>
          <w:p w14:paraId="631E67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2080.44</w:t>
            </w:r>
          </w:p>
        </w:tc>
      </w:tr>
      <w:tr w14:paraId="399D5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4F93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乔木爬藤面积(㎡)</w:t>
            </w:r>
          </w:p>
        </w:tc>
        <w:tc>
          <w:tcPr>
            <w:vAlign w:val="center"/>
          </w:tcPr>
          <w:p w14:paraId="304DF2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29414.22</w:t>
            </w:r>
          </w:p>
        </w:tc>
      </w:tr>
      <w:tr w14:paraId="5B0E8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EAF1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亭廊面积(㎡)</w:t>
            </w:r>
          </w:p>
        </w:tc>
        <w:tc>
          <w:tcPr>
            <w:vAlign w:val="center"/>
          </w:tcPr>
          <w:p w14:paraId="447EED2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6C736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C1548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渗透型硬地面积(㎡)</w:t>
            </w:r>
          </w:p>
        </w:tc>
        <w:tc>
          <w:tcPr>
            <w:vAlign w:val="center"/>
          </w:tcPr>
          <w:p w14:paraId="28B6EB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1122.03</w:t>
            </w:r>
          </w:p>
        </w:tc>
      </w:tr>
      <w:tr w14:paraId="24152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23148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地表平均太阳辐射吸收系数</w:t>
            </w:r>
          </w:p>
        </w:tc>
        <w:tc>
          <w:tcPr>
            <w:vAlign w:val="center"/>
          </w:tcPr>
          <w:p w14:paraId="134D5D0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0.77</w:t>
            </w:r>
          </w:p>
        </w:tc>
      </w:tr>
      <w:tr w14:paraId="44AE8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4BAB3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地面粗糙系数</w:t>
            </w:r>
          </w:p>
        </w:tc>
        <w:tc>
          <w:tcPr>
            <w:vAlign w:val="center"/>
          </w:tcPr>
          <w:p w14:paraId="3BF2CD7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</w:tr>
      <w:tr w14:paraId="6CE1F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9BB0D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平均迎风面积比</w:t>
            </w:r>
          </w:p>
        </w:tc>
        <w:tc>
          <w:tcPr>
            <w:vAlign w:val="center"/>
          </w:tcPr>
          <w:p w14:paraId="4C3EBF2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0.79</w:t>
            </w:r>
          </w:p>
        </w:tc>
      </w:tr>
      <w:tr w14:paraId="3C05D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98D76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CTTC居住区热时间常数(h)</w:t>
            </w:r>
          </w:p>
        </w:tc>
        <w:tc>
          <w:tcPr>
            <w:vAlign w:val="center"/>
          </w:tcPr>
          <w:p w14:paraId="55DA9B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11.69</w:t>
            </w:r>
          </w:p>
        </w:tc>
      </w:tr>
      <w:tr w14:paraId="4D37B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145D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绿化遮阳覆盖率(%)</w:t>
            </w:r>
          </w:p>
        </w:tc>
        <w:tc>
          <w:tcPr>
            <w:vAlign w:val="center"/>
          </w:tcPr>
          <w:p w14:paraId="48540DE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</w:t>
            </w:r>
          </w:p>
        </w:tc>
      </w:tr>
      <w:tr w14:paraId="2242F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3B9E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构筑物遮阳覆盖率(%)</w:t>
            </w:r>
          </w:p>
        </w:tc>
        <w:tc>
          <w:tcPr>
            <w:vAlign w:val="center"/>
          </w:tcPr>
          <w:p w14:paraId="2702A9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4D698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95D5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平均天空角系数</w:t>
            </w:r>
          </w:p>
        </w:tc>
        <w:tc>
          <w:tcPr>
            <w:vAlign w:val="center"/>
          </w:tcPr>
          <w:p w14:paraId="4029E4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0.94</w:t>
            </w:r>
          </w:p>
        </w:tc>
      </w:tr>
      <w:tr w14:paraId="2FCEB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36A3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通风架空率()</w:t>
            </w:r>
          </w:p>
        </w:tc>
        <w:tc>
          <w:tcPr>
            <w:vAlign w:val="center"/>
          </w:tcPr>
          <w:p w14:paraId="33DA15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</w:tbl>
    <w:p w14:paraId="39CC333F">
      <w:pPr>
        <w:pStyle w:val="3"/>
        <w:ind w:firstLine="420"/>
        <w:rPr>
          <w:lang w:val="en-US"/>
        </w:rPr>
      </w:pPr>
      <w:bookmarkStart w:id="34" w:name="住区指标概览"/>
      <w:bookmarkEnd w:id="34"/>
    </w:p>
    <w:p w14:paraId="53485E58">
      <w:pPr>
        <w:pStyle w:val="2"/>
      </w:pPr>
      <w:bookmarkStart w:id="35" w:name="_Toc28643"/>
      <w:r>
        <w:rPr>
          <w:rFonts w:hint="eastAsia"/>
        </w:rPr>
        <w:t>强制性</w:t>
      </w:r>
      <w:r>
        <w:t>设计指标</w:t>
      </w:r>
      <w:bookmarkEnd w:id="35"/>
    </w:p>
    <w:p w14:paraId="17157E08">
      <w:pPr>
        <w:pStyle w:val="4"/>
      </w:pPr>
      <w:bookmarkStart w:id="36" w:name="_Toc29898"/>
      <w:r>
        <w:rPr>
          <w:rFonts w:hint="eastAsia"/>
        </w:rPr>
        <w:t>平均迎风面积比</w:t>
      </w:r>
      <w:bookmarkEnd w:id="36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10CD2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91EF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6EF477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2CD345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最大可能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63DAB9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最大可能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迎风方向(°)</w:t>
            </w:r>
          </w:p>
        </w:tc>
        <w:tc>
          <w:tcPr>
            <w:shd w:val="clear" w:color="auto" w:fill="E6E6E6"/>
            <w:vAlign w:val="center"/>
          </w:tcPr>
          <w:p w14:paraId="33791E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迎风面积比</w:t>
            </w:r>
          </w:p>
        </w:tc>
      </w:tr>
      <w:tr w14:paraId="4B9CA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3869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1#</w:t>
            </w:r>
          </w:p>
        </w:tc>
        <w:tc>
          <w:tcPr>
            <w:vAlign w:val="center"/>
          </w:tcPr>
          <w:p w14:paraId="03738DA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162.93</w:t>
            </w:r>
          </w:p>
        </w:tc>
        <w:tc>
          <w:tcPr>
            <w:vAlign w:val="center"/>
          </w:tcPr>
          <w:p w14:paraId="01F6A4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201.51</w:t>
            </w:r>
          </w:p>
        </w:tc>
        <w:tc>
          <w:tcPr>
            <w:vAlign w:val="center"/>
          </w:tcPr>
          <w:p w14:paraId="7DE82C7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54.00</w:t>
            </w:r>
          </w:p>
        </w:tc>
        <w:tc>
          <w:tcPr>
            <w:vAlign w:val="center"/>
          </w:tcPr>
          <w:p w14:paraId="6F1FC9C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0.8085</w:t>
            </w:r>
          </w:p>
        </w:tc>
      </w:tr>
      <w:tr w14:paraId="37C7B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2993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2#</w:t>
            </w:r>
          </w:p>
        </w:tc>
        <w:tc>
          <w:tcPr>
            <w:vAlign w:val="center"/>
          </w:tcPr>
          <w:p w14:paraId="58A96B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144.03</w:t>
            </w:r>
          </w:p>
        </w:tc>
        <w:tc>
          <w:tcPr>
            <w:vAlign w:val="center"/>
          </w:tcPr>
          <w:p w14:paraId="1B195EF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201.51</w:t>
            </w:r>
          </w:p>
        </w:tc>
        <w:tc>
          <w:tcPr>
            <w:vAlign w:val="center"/>
          </w:tcPr>
          <w:p w14:paraId="218C68F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170.00</w:t>
            </w:r>
          </w:p>
        </w:tc>
        <w:tc>
          <w:tcPr>
            <w:vAlign w:val="center"/>
          </w:tcPr>
          <w:p w14:paraId="65C682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0.7147</w:t>
            </w:r>
          </w:p>
        </w:tc>
      </w:tr>
      <w:tr w14:paraId="250E9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6EE51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3#</w:t>
            </w:r>
          </w:p>
        </w:tc>
        <w:tc>
          <w:tcPr>
            <w:vAlign w:val="center"/>
          </w:tcPr>
          <w:p w14:paraId="687FDB3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144.03</w:t>
            </w:r>
          </w:p>
        </w:tc>
        <w:tc>
          <w:tcPr>
            <w:vAlign w:val="center"/>
          </w:tcPr>
          <w:p w14:paraId="791F9A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201.51</w:t>
            </w:r>
          </w:p>
        </w:tc>
        <w:tc>
          <w:tcPr>
            <w:vAlign w:val="center"/>
          </w:tcPr>
          <w:p w14:paraId="633552A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170.00</w:t>
            </w:r>
          </w:p>
        </w:tc>
        <w:tc>
          <w:tcPr>
            <w:vAlign w:val="center"/>
          </w:tcPr>
          <w:p w14:paraId="25322A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0.7147</w:t>
            </w:r>
          </w:p>
        </w:tc>
      </w:tr>
      <w:tr w14:paraId="17203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665F2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4#</w:t>
            </w:r>
          </w:p>
        </w:tc>
        <w:tc>
          <w:tcPr>
            <w:vAlign w:val="center"/>
          </w:tcPr>
          <w:p w14:paraId="7AFDF5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144.36</w:t>
            </w:r>
          </w:p>
        </w:tc>
        <w:tc>
          <w:tcPr>
            <w:vAlign w:val="center"/>
          </w:tcPr>
          <w:p w14:paraId="23297D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201.51</w:t>
            </w:r>
          </w:p>
        </w:tc>
        <w:tc>
          <w:tcPr>
            <w:vAlign w:val="center"/>
          </w:tcPr>
          <w:p w14:paraId="596E61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170.00</w:t>
            </w:r>
          </w:p>
        </w:tc>
        <w:tc>
          <w:tcPr>
            <w:vAlign w:val="center"/>
          </w:tcPr>
          <w:p w14:paraId="4ED99A8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0.7164</w:t>
            </w:r>
          </w:p>
        </w:tc>
      </w:tr>
      <w:tr w14:paraId="73684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C71B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5#</w:t>
            </w:r>
          </w:p>
        </w:tc>
        <w:tc>
          <w:tcPr>
            <w:vAlign w:val="center"/>
          </w:tcPr>
          <w:p w14:paraId="2137FF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145.18</w:t>
            </w:r>
          </w:p>
        </w:tc>
        <w:tc>
          <w:tcPr>
            <w:vAlign w:val="center"/>
          </w:tcPr>
          <w:p w14:paraId="3654D2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201.51</w:t>
            </w:r>
          </w:p>
        </w:tc>
        <w:tc>
          <w:tcPr>
            <w:vAlign w:val="center"/>
          </w:tcPr>
          <w:p w14:paraId="71F67CB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46.00</w:t>
            </w:r>
          </w:p>
        </w:tc>
        <w:tc>
          <w:tcPr>
            <w:vAlign w:val="center"/>
          </w:tcPr>
          <w:p w14:paraId="493BFE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0.7205</w:t>
            </w:r>
          </w:p>
        </w:tc>
      </w:tr>
      <w:tr w14:paraId="291F4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F119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6#</w:t>
            </w:r>
          </w:p>
        </w:tc>
        <w:tc>
          <w:tcPr>
            <w:vAlign w:val="center"/>
          </w:tcPr>
          <w:p w14:paraId="342483E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168.72</w:t>
            </w:r>
          </w:p>
        </w:tc>
        <w:tc>
          <w:tcPr>
            <w:vAlign w:val="center"/>
          </w:tcPr>
          <w:p w14:paraId="7B923D7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201.51</w:t>
            </w:r>
          </w:p>
        </w:tc>
        <w:tc>
          <w:tcPr>
            <w:vAlign w:val="center"/>
          </w:tcPr>
          <w:p w14:paraId="157C68D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57.00</w:t>
            </w:r>
          </w:p>
        </w:tc>
        <w:tc>
          <w:tcPr>
            <w:vAlign w:val="center"/>
          </w:tcPr>
          <w:p w14:paraId="0707BE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0.8373</w:t>
            </w:r>
          </w:p>
        </w:tc>
      </w:tr>
      <w:tr w14:paraId="69CAC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AF415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食堂</w:t>
            </w:r>
          </w:p>
        </w:tc>
        <w:tc>
          <w:tcPr>
            <w:vAlign w:val="center"/>
          </w:tcPr>
          <w:p w14:paraId="0D89C4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166.32</w:t>
            </w:r>
          </w:p>
        </w:tc>
        <w:tc>
          <w:tcPr>
            <w:vAlign w:val="center"/>
          </w:tcPr>
          <w:p w14:paraId="166DDF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167.18</w:t>
            </w:r>
          </w:p>
        </w:tc>
        <w:tc>
          <w:tcPr>
            <w:vAlign w:val="center"/>
          </w:tcPr>
          <w:p w14:paraId="35D9C8F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145.00</w:t>
            </w:r>
          </w:p>
        </w:tc>
        <w:tc>
          <w:tcPr>
            <w:vAlign w:val="center"/>
          </w:tcPr>
          <w:p w14:paraId="3768A77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0.9949</w:t>
            </w:r>
          </w:p>
        </w:tc>
      </w:tr>
      <w:tr w14:paraId="275ED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C534F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平均迎风面积比</w:t>
            </w:r>
          </w:p>
        </w:tc>
        <w:tc>
          <w:tcPr>
            <w:gridSpan w:val="4"/>
            <w:vAlign w:val="center"/>
          </w:tcPr>
          <w:p w14:paraId="076DD38A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0.787</w:t>
            </w:r>
          </w:p>
        </w:tc>
      </w:tr>
      <w:tr w14:paraId="48006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AE923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3ADED501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《城市居住区热环境设计标准》4.1.1条</w:t>
            </w:r>
          </w:p>
        </w:tc>
      </w:tr>
      <w:tr w14:paraId="79A08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25774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73D4BB28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平均迎风面积比≤0.80</w:t>
            </w:r>
          </w:p>
        </w:tc>
      </w:tr>
      <w:tr w14:paraId="7E612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FE80C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4B4DE57B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满足</w:t>
            </w:r>
          </w:p>
        </w:tc>
      </w:tr>
    </w:tbl>
    <w:p w14:paraId="0C15C045">
      <w:pPr>
        <w:pStyle w:val="3"/>
        <w:ind w:firstLine="420"/>
        <w:rPr>
          <w:lang w:val="en-US"/>
        </w:rPr>
      </w:pPr>
      <w:bookmarkStart w:id="37" w:name="平均迎风面积比"/>
      <w:bookmarkEnd w:id="37"/>
    </w:p>
    <w:p w14:paraId="67427D30">
      <w:pPr>
        <w:pStyle w:val="4"/>
      </w:pPr>
      <w:bookmarkStart w:id="38" w:name="_Toc11748"/>
      <w:r>
        <w:rPr>
          <w:rFonts w:hint="eastAsia"/>
        </w:rPr>
        <w:t>活动场地遮阳覆盖率</w:t>
      </w:r>
      <w:bookmarkEnd w:id="38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4E8C2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8B31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</w:t>
            </w:r>
          </w:p>
        </w:tc>
        <w:tc>
          <w:tcPr>
            <w:shd w:val="clear" w:color="auto" w:fill="E6E6E6"/>
            <w:vAlign w:val="center"/>
          </w:tcPr>
          <w:p w14:paraId="6AF0E4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遮阳面积(㎡)</w:t>
            </w:r>
          </w:p>
        </w:tc>
        <w:tc>
          <w:tcPr>
            <w:shd w:val="clear" w:color="auto" w:fill="E6E6E6"/>
            <w:vAlign w:val="center"/>
          </w:tcPr>
          <w:p w14:paraId="1D343A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场地面积(㎡)</w:t>
            </w:r>
          </w:p>
        </w:tc>
        <w:tc>
          <w:tcPr>
            <w:shd w:val="clear" w:color="auto" w:fill="E6E6E6"/>
            <w:vAlign w:val="center"/>
          </w:tcPr>
          <w:p w14:paraId="65C3D5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遮阳覆盖率(%)</w:t>
            </w:r>
          </w:p>
        </w:tc>
        <w:tc>
          <w:tcPr>
            <w:shd w:val="clear" w:color="auto" w:fill="E6E6E6"/>
            <w:vAlign w:val="center"/>
          </w:tcPr>
          <w:p w14:paraId="4CA148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覆盖率限值(%)</w:t>
            </w:r>
          </w:p>
        </w:tc>
      </w:tr>
      <w:tr w14:paraId="3D418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4786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109C9A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308.8</w:t>
            </w:r>
          </w:p>
        </w:tc>
        <w:tc>
          <w:tcPr>
            <w:vAlign w:val="center"/>
          </w:tcPr>
          <w:p w14:paraId="2B2AB43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645.0</w:t>
            </w:r>
          </w:p>
        </w:tc>
        <w:tc>
          <w:tcPr>
            <w:vAlign w:val="center"/>
          </w:tcPr>
          <w:p w14:paraId="654453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</w:t>
            </w:r>
          </w:p>
        </w:tc>
        <w:tc>
          <w:tcPr>
            <w:vAlign w:val="center"/>
          </w:tcPr>
          <w:p w14:paraId="4981A37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</w:tr>
      <w:tr w14:paraId="5C73B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D42D8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停车场</w:t>
            </w:r>
          </w:p>
        </w:tc>
        <w:tc>
          <w:tcPr>
            <w:vAlign w:val="center"/>
          </w:tcPr>
          <w:p w14:paraId="04F5CD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340.2</w:t>
            </w:r>
          </w:p>
        </w:tc>
        <w:tc>
          <w:tcPr>
            <w:vAlign w:val="center"/>
          </w:tcPr>
          <w:p w14:paraId="11F8C2F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477.0</w:t>
            </w:r>
          </w:p>
        </w:tc>
        <w:tc>
          <w:tcPr>
            <w:vAlign w:val="center"/>
          </w:tcPr>
          <w:p w14:paraId="5F079AF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</w:t>
            </w:r>
          </w:p>
        </w:tc>
        <w:tc>
          <w:tcPr>
            <w:vAlign w:val="center"/>
          </w:tcPr>
          <w:p w14:paraId="37AAB73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</w:tr>
      <w:tr w14:paraId="7FD3F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9DB0E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740EF48C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《城市居住区热环境设计标准》4.2.1条</w:t>
            </w:r>
          </w:p>
        </w:tc>
      </w:tr>
      <w:tr w14:paraId="41A50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A1F4A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166A65D5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各类活动场地遮阳覆盖率不得低于标准要求限值</w:t>
            </w:r>
          </w:p>
        </w:tc>
      </w:tr>
      <w:tr w14:paraId="2528A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5CD97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0BB4F3F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满足</w:t>
            </w:r>
          </w:p>
        </w:tc>
      </w:tr>
    </w:tbl>
    <w:p w14:paraId="3DBBBE6D">
      <w:pPr>
        <w:pStyle w:val="3"/>
        <w:ind w:firstLine="420"/>
        <w:rPr>
          <w:lang w:val="en-US"/>
        </w:rPr>
      </w:pPr>
      <w:bookmarkStart w:id="39" w:name="活动场地遮阳覆盖率"/>
      <w:bookmarkEnd w:id="39"/>
    </w:p>
    <w:p w14:paraId="0B4443F3">
      <w:pPr>
        <w:pStyle w:val="2"/>
      </w:pPr>
      <w:bookmarkStart w:id="40" w:name="_Toc27414"/>
      <w:r>
        <w:rPr>
          <w:rFonts w:hint="eastAsia"/>
        </w:rPr>
        <w:t>规定性设计指标</w:t>
      </w:r>
      <w:bookmarkEnd w:id="40"/>
    </w:p>
    <w:p w14:paraId="5298A792">
      <w:pPr>
        <w:pStyle w:val="4"/>
      </w:pPr>
      <w:bookmarkStart w:id="41" w:name="_Toc31273"/>
      <w:r>
        <w:rPr>
          <w:rFonts w:hint="eastAsia"/>
        </w:rPr>
        <w:t>底层通风架空率</w:t>
      </w:r>
      <w:bookmarkEnd w:id="41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799E2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11F9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6F6AE9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7F68A6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1FB244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1DE2C6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底层通风架空率(%)</w:t>
            </w:r>
          </w:p>
        </w:tc>
      </w:tr>
      <w:tr w14:paraId="51639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4946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1#</w:t>
            </w:r>
          </w:p>
        </w:tc>
        <w:tc>
          <w:tcPr>
            <w:vAlign w:val="center"/>
          </w:tcPr>
          <w:p w14:paraId="037DDD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CC161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319.2</w:t>
            </w:r>
          </w:p>
        </w:tc>
        <w:tc>
          <w:tcPr>
            <w:vAlign w:val="center"/>
          </w:tcPr>
          <w:p w14:paraId="0648E88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0280C3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75DFE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2FFE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2#</w:t>
            </w:r>
          </w:p>
        </w:tc>
        <w:tc>
          <w:tcPr>
            <w:vAlign w:val="center"/>
          </w:tcPr>
          <w:p w14:paraId="7DF4A9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5B939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319.2</w:t>
            </w:r>
          </w:p>
        </w:tc>
        <w:tc>
          <w:tcPr>
            <w:vAlign w:val="center"/>
          </w:tcPr>
          <w:p w14:paraId="7E2C67B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11D6F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71891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183A0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3#</w:t>
            </w:r>
          </w:p>
        </w:tc>
        <w:tc>
          <w:tcPr>
            <w:vAlign w:val="center"/>
          </w:tcPr>
          <w:p w14:paraId="4877FBE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998E43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319.2</w:t>
            </w:r>
          </w:p>
        </w:tc>
        <w:tc>
          <w:tcPr>
            <w:vAlign w:val="center"/>
          </w:tcPr>
          <w:p w14:paraId="27AC798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A6901E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46DAC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47D8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4#</w:t>
            </w:r>
          </w:p>
        </w:tc>
        <w:tc>
          <w:tcPr>
            <w:vAlign w:val="center"/>
          </w:tcPr>
          <w:p w14:paraId="692BD0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19DC9E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319.2</w:t>
            </w:r>
          </w:p>
        </w:tc>
        <w:tc>
          <w:tcPr>
            <w:vAlign w:val="center"/>
          </w:tcPr>
          <w:p w14:paraId="3F5AF42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544A5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6AD5E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71CF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5#</w:t>
            </w:r>
          </w:p>
        </w:tc>
        <w:tc>
          <w:tcPr>
            <w:vAlign w:val="center"/>
          </w:tcPr>
          <w:p w14:paraId="4B992A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E62198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319.2</w:t>
            </w:r>
          </w:p>
        </w:tc>
        <w:tc>
          <w:tcPr>
            <w:vAlign w:val="center"/>
          </w:tcPr>
          <w:p w14:paraId="0492CFF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6829F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70BE5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9C13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6#</w:t>
            </w:r>
          </w:p>
        </w:tc>
        <w:tc>
          <w:tcPr>
            <w:vAlign w:val="center"/>
          </w:tcPr>
          <w:p w14:paraId="736D81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6A140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319.2</w:t>
            </w:r>
          </w:p>
        </w:tc>
        <w:tc>
          <w:tcPr>
            <w:vAlign w:val="center"/>
          </w:tcPr>
          <w:p w14:paraId="69B6BC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B827B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35081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21DB5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食堂</w:t>
            </w:r>
          </w:p>
        </w:tc>
        <w:tc>
          <w:tcPr>
            <w:vAlign w:val="center"/>
          </w:tcPr>
          <w:p w14:paraId="0F12A68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7855C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165.3</w:t>
            </w:r>
          </w:p>
        </w:tc>
        <w:tc>
          <w:tcPr>
            <w:vAlign w:val="center"/>
          </w:tcPr>
          <w:p w14:paraId="0C7304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3A2C9D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0BB5F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F1E18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7454E84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《城市居住区热环境设计标准》4.1.4条</w:t>
            </w:r>
          </w:p>
        </w:tc>
      </w:tr>
      <w:tr w14:paraId="6199B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950A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2916DA7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III、IV、V气候区，夏季主导风向迎风面积宽度超过80m时，底层通风架空率不应小于10%</w:t>
            </w:r>
          </w:p>
        </w:tc>
      </w:tr>
      <w:tr w14:paraId="239C1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BEF6A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7C8F77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3E4F522C">
      <w:pPr>
        <w:pStyle w:val="3"/>
        <w:ind w:firstLine="420"/>
        <w:rPr>
          <w:lang w:val="en-US"/>
        </w:rPr>
      </w:pPr>
      <w:bookmarkStart w:id="42" w:name="底层通风架空率"/>
      <w:bookmarkEnd w:id="42"/>
    </w:p>
    <w:p w14:paraId="12D593BF">
      <w:pPr>
        <w:pStyle w:val="4"/>
      </w:pPr>
      <w:bookmarkStart w:id="43" w:name="_Toc14437"/>
      <w:r>
        <w:rPr>
          <w:rFonts w:hint="eastAsia"/>
        </w:rPr>
        <w:t>绿化遮阳体叶面积指数</w:t>
      </w:r>
      <w:bookmarkEnd w:id="43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23E7C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1F84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6AF3F3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61788D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面积(㎡)</w:t>
            </w:r>
          </w:p>
        </w:tc>
      </w:tr>
      <w:tr w14:paraId="1682F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90B9CE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</w:t>
            </w:r>
          </w:p>
        </w:tc>
        <w:tc>
          <w:tcPr>
            <w:vAlign w:val="center"/>
          </w:tcPr>
          <w:p w14:paraId="79A1469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&gt;= 3</w:t>
            </w:r>
          </w:p>
        </w:tc>
        <w:tc>
          <w:tcPr>
            <w:vAlign w:val="center"/>
          </w:tcPr>
          <w:p w14:paraId="29C4CF4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29414</w:t>
            </w:r>
          </w:p>
        </w:tc>
      </w:tr>
      <w:tr w14:paraId="5D84B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D07B7CF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79DD92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&lt; 3</w:t>
            </w:r>
          </w:p>
        </w:tc>
        <w:tc>
          <w:tcPr>
            <w:vAlign w:val="center"/>
          </w:tcPr>
          <w:p w14:paraId="3E44B28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39E52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DFC0F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爬藤棚架</w:t>
            </w:r>
          </w:p>
        </w:tc>
        <w:tc>
          <w:tcPr>
            <w:vAlign w:val="center"/>
          </w:tcPr>
          <w:p w14:paraId="77D262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&gt;= 3</w:t>
            </w:r>
          </w:p>
        </w:tc>
        <w:tc>
          <w:tcPr>
            <w:vAlign w:val="center"/>
          </w:tcPr>
          <w:p w14:paraId="73B151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48802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291F215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589C7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&lt; 3</w:t>
            </w:r>
          </w:p>
        </w:tc>
        <w:tc>
          <w:tcPr>
            <w:vAlign w:val="center"/>
          </w:tcPr>
          <w:p w14:paraId="0176960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09920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EE450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2"/>
            <w:vAlign w:val="center"/>
          </w:tcPr>
          <w:p w14:paraId="1543116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《城市居住区热环境设计标准》4.2.3条</w:t>
            </w:r>
          </w:p>
        </w:tc>
      </w:tr>
      <w:tr w14:paraId="77AC0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A059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2"/>
            <w:vAlign w:val="center"/>
          </w:tcPr>
          <w:p w14:paraId="2D267B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绿化遮阳体叶面积指数不应小于3.0</w:t>
            </w:r>
          </w:p>
        </w:tc>
      </w:tr>
      <w:tr w14:paraId="7C3A6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F2C9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2"/>
            <w:vAlign w:val="center"/>
          </w:tcPr>
          <w:p w14:paraId="1DC8CF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3830BFA4">
      <w:pPr>
        <w:pStyle w:val="3"/>
        <w:ind w:firstLine="420"/>
        <w:rPr>
          <w:lang w:val="en-US"/>
        </w:rPr>
      </w:pPr>
      <w:bookmarkStart w:id="44" w:name="绿化遮阳体叶面积指数"/>
      <w:bookmarkEnd w:id="44"/>
    </w:p>
    <w:p w14:paraId="58E9C03A">
      <w:pPr>
        <w:pStyle w:val="4"/>
      </w:pPr>
      <w:bookmarkStart w:id="45" w:name="_Toc15621"/>
      <w:r>
        <w:rPr>
          <w:rFonts w:hint="eastAsia"/>
        </w:rPr>
        <w:t>渗透蒸发指标</w:t>
      </w:r>
      <w:bookmarkEnd w:id="45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26435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FE9A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</w:t>
            </w:r>
          </w:p>
        </w:tc>
        <w:tc>
          <w:tcPr>
            <w:shd w:val="clear" w:color="auto" w:fill="E6E6E6"/>
            <w:vAlign w:val="center"/>
          </w:tcPr>
          <w:p w14:paraId="33710B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578EB5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D598D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5E4B97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蒸发量m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(kg/(㎡·d))</w:t>
            </w:r>
          </w:p>
        </w:tc>
      </w:tr>
      <w:tr w14:paraId="7AA20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D9860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6659049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645</w:t>
            </w:r>
          </w:p>
        </w:tc>
        <w:tc>
          <w:tcPr>
            <w:vAlign w:val="center"/>
          </w:tcPr>
          <w:p w14:paraId="22B00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0.575</w:t>
            </w:r>
          </w:p>
        </w:tc>
        <w:tc>
          <w:tcPr>
            <w:vAlign w:val="center"/>
          </w:tcPr>
          <w:p w14:paraId="14905DA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286059A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1.32</w:t>
            </w:r>
          </w:p>
        </w:tc>
      </w:tr>
      <w:tr w14:paraId="55AC4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8E902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停车场</w:t>
            </w:r>
          </w:p>
        </w:tc>
        <w:tc>
          <w:tcPr>
            <w:vAlign w:val="center"/>
          </w:tcPr>
          <w:p w14:paraId="753FF7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477</w:t>
            </w:r>
          </w:p>
        </w:tc>
        <w:tc>
          <w:tcPr>
            <w:vAlign w:val="center"/>
          </w:tcPr>
          <w:p w14:paraId="01F151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0.425</w:t>
            </w:r>
          </w:p>
        </w:tc>
        <w:tc>
          <w:tcPr>
            <w:vAlign w:val="center"/>
          </w:tcPr>
          <w:p w14:paraId="7C60E6F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704008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1.32</w:t>
            </w:r>
          </w:p>
        </w:tc>
      </w:tr>
      <w:tr w14:paraId="77E4E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318FB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7D43880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1122</w:t>
            </w:r>
          </w:p>
        </w:tc>
        <w:tc>
          <w:tcPr>
            <w:vAlign w:val="center"/>
          </w:tcPr>
          <w:p w14:paraId="2E6FCF9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Align w:val="center"/>
          </w:tcPr>
          <w:p w14:paraId="5D24543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10497B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1.32</w:t>
            </w:r>
          </w:p>
        </w:tc>
      </w:tr>
    </w:tbl>
    <w:p w14:paraId="5CB3C87B">
      <w:pPr>
        <w:pStyle w:val="3"/>
        <w:ind w:firstLine="420"/>
        <w:rPr>
          <w:lang w:val="en-US"/>
        </w:rPr>
      </w:pPr>
      <w:bookmarkStart w:id="46" w:name="渗透蒸发指标"/>
      <w:bookmarkEnd w:id="46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281DD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46002F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</w:t>
            </w:r>
          </w:p>
        </w:tc>
        <w:tc>
          <w:tcPr>
            <w:shd w:val="clear" w:color="auto" w:fill="E6E6E6"/>
            <w:vAlign w:val="center"/>
          </w:tcPr>
          <w:p w14:paraId="28AF14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7EF6FF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限值(%)</w:t>
            </w:r>
          </w:p>
        </w:tc>
      </w:tr>
      <w:tr w14:paraId="5A507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57EF50F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0437D83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 w14:paraId="037665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</w:tr>
      <w:tr w14:paraId="6787F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0392E4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停车场</w:t>
            </w:r>
          </w:p>
        </w:tc>
        <w:tc>
          <w:tcPr>
            <w:vAlign w:val="center"/>
          </w:tcPr>
          <w:p w14:paraId="3A6844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 w14:paraId="1E2989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</w:p>
        </w:tc>
      </w:tr>
      <w:tr w14:paraId="2B791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56FCC6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渗透与蒸发指标</w:t>
            </w:r>
          </w:p>
        </w:tc>
      </w:tr>
      <w:tr w14:paraId="1238A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33AE8E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0CA7CB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  <w:tc>
          <w:tcPr>
            <w:shd w:val="clear" w:color="auto" w:fill="E6E6E6"/>
            <w:vAlign w:val="center"/>
          </w:tcPr>
          <w:p w14:paraId="03C390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限值</w:t>
            </w:r>
          </w:p>
        </w:tc>
      </w:tr>
      <w:tr w14:paraId="2BAAE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4A38DC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地面透水系数k(mm/s)</w:t>
            </w:r>
          </w:p>
        </w:tc>
        <w:tc>
          <w:tcPr>
            <w:vAlign w:val="center"/>
          </w:tcPr>
          <w:p w14:paraId="140550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39AD01B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14:paraId="4C8C2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01DA6B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蒸发量m(kg/(㎡·d))</w:t>
            </w:r>
          </w:p>
        </w:tc>
        <w:tc>
          <w:tcPr>
            <w:vAlign w:val="center"/>
          </w:tcPr>
          <w:p w14:paraId="1F7145C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1.32</w:t>
            </w:r>
          </w:p>
        </w:tc>
        <w:tc>
          <w:tcPr>
            <w:vAlign w:val="center"/>
          </w:tcPr>
          <w:p w14:paraId="166C2D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</w:tr>
      <w:tr w14:paraId="17CFA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4B9289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2"/>
            <w:vAlign w:val="center"/>
          </w:tcPr>
          <w:p w14:paraId="1D39AA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《城市居住区热环境设计标准》4.3.1条</w:t>
            </w:r>
          </w:p>
        </w:tc>
      </w:tr>
      <w:tr w14:paraId="5B00D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266B09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2"/>
            <w:vAlign w:val="center"/>
          </w:tcPr>
          <w:p w14:paraId="46EE528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渗透面积比率、透水系数及蒸发量不应低于标准规定限值</w:t>
            </w:r>
          </w:p>
        </w:tc>
      </w:tr>
      <w:tr w14:paraId="2F53F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6719FAF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2"/>
            <w:vAlign w:val="center"/>
          </w:tcPr>
          <w:p w14:paraId="7638F2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1F1C37B1">
      <w:pPr>
        <w:pStyle w:val="3"/>
        <w:ind w:firstLine="420"/>
        <w:rPr>
          <w:lang w:val="en-US"/>
        </w:rPr>
      </w:pPr>
    </w:p>
    <w:p w14:paraId="1E0FEF30">
      <w:pPr>
        <w:pStyle w:val="4"/>
      </w:pPr>
      <w:bookmarkStart w:id="47" w:name="_Toc11295"/>
      <w:r>
        <w:rPr>
          <w:rFonts w:hint="eastAsia"/>
        </w:rPr>
        <w:t>屋面绿化率</w:t>
      </w:r>
      <w:bookmarkEnd w:id="47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5B112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5B8E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46C7B3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020721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3863B6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可绿化屋面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434E03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屋面绿化率(%)</w:t>
            </w:r>
          </w:p>
        </w:tc>
      </w:tr>
      <w:tr w14:paraId="6A5FA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199B4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1#</w:t>
            </w:r>
          </w:p>
        </w:tc>
        <w:tc>
          <w:tcPr>
            <w:vAlign w:val="center"/>
          </w:tcPr>
          <w:p w14:paraId="4BA7E52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319.2</w:t>
            </w:r>
          </w:p>
        </w:tc>
        <w:tc>
          <w:tcPr>
            <w:vAlign w:val="center"/>
          </w:tcPr>
          <w:p w14:paraId="48492A3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319.2</w:t>
            </w:r>
          </w:p>
        </w:tc>
        <w:tc>
          <w:tcPr>
            <w:vAlign w:val="center"/>
          </w:tcPr>
          <w:p w14:paraId="293153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319.2</w:t>
            </w:r>
          </w:p>
        </w:tc>
        <w:tc>
          <w:tcPr>
            <w:vAlign w:val="center"/>
          </w:tcPr>
          <w:p w14:paraId="3A6121F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C366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2DFF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2#</w:t>
            </w:r>
          </w:p>
        </w:tc>
        <w:tc>
          <w:tcPr>
            <w:vAlign w:val="center"/>
          </w:tcPr>
          <w:p w14:paraId="67D9BE7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319.2</w:t>
            </w:r>
          </w:p>
        </w:tc>
        <w:tc>
          <w:tcPr>
            <w:vAlign w:val="center"/>
          </w:tcPr>
          <w:p w14:paraId="734247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319.2</w:t>
            </w:r>
          </w:p>
        </w:tc>
        <w:tc>
          <w:tcPr>
            <w:vAlign w:val="center"/>
          </w:tcPr>
          <w:p w14:paraId="5AF886C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319.2</w:t>
            </w:r>
          </w:p>
        </w:tc>
        <w:tc>
          <w:tcPr>
            <w:vAlign w:val="center"/>
          </w:tcPr>
          <w:p w14:paraId="5144F7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12E2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597A8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3#</w:t>
            </w:r>
          </w:p>
        </w:tc>
        <w:tc>
          <w:tcPr>
            <w:vAlign w:val="center"/>
          </w:tcPr>
          <w:p w14:paraId="4A1579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319.2</w:t>
            </w:r>
          </w:p>
        </w:tc>
        <w:tc>
          <w:tcPr>
            <w:vAlign w:val="center"/>
          </w:tcPr>
          <w:p w14:paraId="6674EE3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319.2</w:t>
            </w:r>
          </w:p>
        </w:tc>
        <w:tc>
          <w:tcPr>
            <w:vAlign w:val="center"/>
          </w:tcPr>
          <w:p w14:paraId="1F07686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319.2</w:t>
            </w:r>
          </w:p>
        </w:tc>
        <w:tc>
          <w:tcPr>
            <w:vAlign w:val="center"/>
          </w:tcPr>
          <w:p w14:paraId="54A847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1D4F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AE38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4#</w:t>
            </w:r>
          </w:p>
        </w:tc>
        <w:tc>
          <w:tcPr>
            <w:vAlign w:val="center"/>
          </w:tcPr>
          <w:p w14:paraId="655F3F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319.2</w:t>
            </w:r>
          </w:p>
        </w:tc>
        <w:tc>
          <w:tcPr>
            <w:vAlign w:val="center"/>
          </w:tcPr>
          <w:p w14:paraId="140D55C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319.2</w:t>
            </w:r>
          </w:p>
        </w:tc>
        <w:tc>
          <w:tcPr>
            <w:vAlign w:val="center"/>
          </w:tcPr>
          <w:p w14:paraId="736E8E4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319.2</w:t>
            </w:r>
          </w:p>
        </w:tc>
        <w:tc>
          <w:tcPr>
            <w:vAlign w:val="center"/>
          </w:tcPr>
          <w:p w14:paraId="6A0B7DC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BF36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A37F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5#</w:t>
            </w:r>
          </w:p>
        </w:tc>
        <w:tc>
          <w:tcPr>
            <w:vAlign w:val="center"/>
          </w:tcPr>
          <w:p w14:paraId="172D7E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319.2</w:t>
            </w:r>
          </w:p>
        </w:tc>
        <w:tc>
          <w:tcPr>
            <w:vAlign w:val="center"/>
          </w:tcPr>
          <w:p w14:paraId="576947C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319.2</w:t>
            </w:r>
          </w:p>
        </w:tc>
        <w:tc>
          <w:tcPr>
            <w:vAlign w:val="center"/>
          </w:tcPr>
          <w:p w14:paraId="49EA53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319.2</w:t>
            </w:r>
          </w:p>
        </w:tc>
        <w:tc>
          <w:tcPr>
            <w:vAlign w:val="center"/>
          </w:tcPr>
          <w:p w14:paraId="2DDAE5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892C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5F46D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6#</w:t>
            </w:r>
          </w:p>
        </w:tc>
        <w:tc>
          <w:tcPr>
            <w:vAlign w:val="center"/>
          </w:tcPr>
          <w:p w14:paraId="7CDF56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319.2</w:t>
            </w:r>
          </w:p>
        </w:tc>
        <w:tc>
          <w:tcPr>
            <w:vAlign w:val="center"/>
          </w:tcPr>
          <w:p w14:paraId="35CE2C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319.2</w:t>
            </w:r>
          </w:p>
        </w:tc>
        <w:tc>
          <w:tcPr>
            <w:vAlign w:val="center"/>
          </w:tcPr>
          <w:p w14:paraId="654AD9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319.2</w:t>
            </w:r>
          </w:p>
        </w:tc>
        <w:tc>
          <w:tcPr>
            <w:vAlign w:val="center"/>
          </w:tcPr>
          <w:p w14:paraId="76BBE4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33FB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8AD7F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食堂</w:t>
            </w:r>
          </w:p>
        </w:tc>
        <w:tc>
          <w:tcPr>
            <w:vAlign w:val="center"/>
          </w:tcPr>
          <w:p w14:paraId="3A5B5B0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165.3</w:t>
            </w:r>
          </w:p>
        </w:tc>
        <w:tc>
          <w:tcPr>
            <w:vAlign w:val="center"/>
          </w:tcPr>
          <w:p w14:paraId="15EA32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165.3</w:t>
            </w:r>
          </w:p>
        </w:tc>
        <w:tc>
          <w:tcPr>
            <w:vAlign w:val="center"/>
          </w:tcPr>
          <w:p w14:paraId="707FEC3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165.3</w:t>
            </w:r>
          </w:p>
        </w:tc>
        <w:tc>
          <w:tcPr>
            <w:vAlign w:val="center"/>
          </w:tcPr>
          <w:p w14:paraId="0DEF3D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547C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2DEA1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6DA7BF3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2080.4</w:t>
            </w:r>
          </w:p>
        </w:tc>
        <w:tc>
          <w:tcPr>
            <w:vAlign w:val="center"/>
          </w:tcPr>
          <w:p w14:paraId="3A28AD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2080.4</w:t>
            </w:r>
          </w:p>
        </w:tc>
        <w:tc>
          <w:tcPr>
            <w:vAlign w:val="center"/>
          </w:tcPr>
          <w:p w14:paraId="76E029C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2080.4</w:t>
            </w:r>
          </w:p>
        </w:tc>
        <w:tc>
          <w:tcPr>
            <w:vAlign w:val="center"/>
          </w:tcPr>
          <w:p w14:paraId="1E77A51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EA78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0811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53A9D8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《城市居住区热环境设计标准》4.4.2条</w:t>
            </w:r>
          </w:p>
        </w:tc>
      </w:tr>
      <w:tr w14:paraId="74A98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25E13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2E308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建筑屋面的绿化面积不应低于可绿化屋面面积的50%</w:t>
            </w:r>
          </w:p>
        </w:tc>
      </w:tr>
      <w:tr w14:paraId="22B79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FAE0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409DD99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1E2EE9E5">
      <w:pPr>
        <w:pStyle w:val="3"/>
        <w:ind w:firstLine="420"/>
        <w:rPr>
          <w:lang w:val="en-US"/>
        </w:rPr>
      </w:pPr>
      <w:bookmarkStart w:id="48" w:name="屋面绿化率"/>
      <w:bookmarkEnd w:id="48"/>
    </w:p>
    <w:p w14:paraId="577A3CB3">
      <w:pPr>
        <w:pStyle w:val="2"/>
      </w:pPr>
      <w:bookmarkStart w:id="49" w:name="_Toc30483"/>
      <w:r>
        <w:rPr>
          <w:rFonts w:hint="eastAsia"/>
        </w:rPr>
        <w:t>结论</w:t>
      </w:r>
      <w:bookmarkEnd w:id="49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2540BE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867" w:type="dxa"/>
            <w:shd w:val="clear" w:color="auto" w:fill="E6E6E6"/>
            <w:vAlign w:val="center"/>
          </w:tcPr>
          <w:p w14:paraId="27945787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669BF5FE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ECFE7AC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2383F6F7">
            <w:pPr>
              <w:jc w:val="center"/>
            </w:pPr>
            <w:r>
              <w:t>备注</w:t>
            </w:r>
          </w:p>
        </w:tc>
      </w:tr>
      <w:tr w14:paraId="362F08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0BE9EC76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1DD5BA33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2CF97C85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14:paraId="041B43A2">
            <w:r>
              <w:rPr>
                <w:b/>
              </w:rPr>
              <w:t>强制条文，必须满足</w:t>
            </w:r>
          </w:p>
        </w:tc>
      </w:tr>
      <w:tr w14:paraId="0DFDF9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11105819"/>
        </w:tc>
        <w:tc>
          <w:tcPr>
            <w:tcW w:w="2800" w:type="dxa"/>
            <w:vAlign w:val="center"/>
          </w:tcPr>
          <w:p w14:paraId="1999B3E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2B0B5173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 w:val="continue"/>
            <w:vAlign w:val="center"/>
          </w:tcPr>
          <w:p w14:paraId="7A524E8D"/>
        </w:tc>
      </w:tr>
      <w:tr w14:paraId="269BAA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577020DB">
            <w:r>
              <w:t>规定性设计</w:t>
            </w:r>
          </w:p>
        </w:tc>
        <w:tc>
          <w:tcPr>
            <w:tcW w:w="2800" w:type="dxa"/>
            <w:vAlign w:val="center"/>
          </w:tcPr>
          <w:p w14:paraId="4247D61A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14223DDC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14:paraId="713DB9EE">
            <w:r>
              <w:t>不满足任意一条时，进行评价性设计</w:t>
            </w:r>
          </w:p>
        </w:tc>
      </w:tr>
      <w:tr w14:paraId="70F2D8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31EB1EEA"/>
        </w:tc>
        <w:tc>
          <w:tcPr>
            <w:tcW w:w="2800" w:type="dxa"/>
            <w:vAlign w:val="center"/>
          </w:tcPr>
          <w:p w14:paraId="61D1B587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103287A9">
            <w:bookmarkStart w:id="54" w:name="绿化遮阳体叶面积指数结论"/>
            <w:r>
              <w:t>满足</w:t>
            </w:r>
            <w:bookmarkEnd w:id="54"/>
          </w:p>
        </w:tc>
        <w:tc>
          <w:tcPr>
            <w:tcW w:w="2800" w:type="dxa"/>
            <w:vMerge w:val="continue"/>
            <w:vAlign w:val="center"/>
          </w:tcPr>
          <w:p w14:paraId="06745900"/>
        </w:tc>
      </w:tr>
      <w:tr w14:paraId="2BD3DC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362AD094"/>
        </w:tc>
        <w:tc>
          <w:tcPr>
            <w:tcW w:w="2800" w:type="dxa"/>
            <w:vAlign w:val="center"/>
          </w:tcPr>
          <w:p w14:paraId="5E5E6EE7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5C76D378">
            <w:bookmarkStart w:id="55" w:name="渗透蒸发指标结论"/>
            <w:r>
              <w:t>满足</w:t>
            </w:r>
            <w:bookmarkEnd w:id="55"/>
          </w:p>
        </w:tc>
        <w:tc>
          <w:tcPr>
            <w:tcW w:w="2800" w:type="dxa"/>
            <w:vMerge w:val="continue"/>
            <w:vAlign w:val="center"/>
          </w:tcPr>
          <w:p w14:paraId="762D3EF8"/>
        </w:tc>
      </w:tr>
      <w:tr w14:paraId="7E3DDE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3FF6A21D"/>
        </w:tc>
        <w:tc>
          <w:tcPr>
            <w:tcW w:w="2800" w:type="dxa"/>
            <w:vAlign w:val="center"/>
          </w:tcPr>
          <w:p w14:paraId="06BFD94B">
            <w:r>
              <w:t>屋面绿化率</w:t>
            </w:r>
          </w:p>
        </w:tc>
        <w:tc>
          <w:tcPr>
            <w:tcW w:w="1866" w:type="dxa"/>
            <w:vAlign w:val="center"/>
          </w:tcPr>
          <w:p w14:paraId="79C19D7E">
            <w:bookmarkStart w:id="56" w:name="屋面绿化率结论"/>
            <w:r>
              <w:t>满足</w:t>
            </w:r>
            <w:bookmarkEnd w:id="56"/>
          </w:p>
        </w:tc>
        <w:tc>
          <w:tcPr>
            <w:tcW w:w="2800" w:type="dxa"/>
            <w:vMerge w:val="continue"/>
            <w:vAlign w:val="center"/>
          </w:tcPr>
          <w:p w14:paraId="335E977E"/>
        </w:tc>
      </w:tr>
      <w:tr w14:paraId="5AE568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7C2D3767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6D933A94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</w:rPr>
              <w:t>满足</w:t>
            </w:r>
            <w:bookmarkEnd w:id="57"/>
          </w:p>
        </w:tc>
      </w:tr>
    </w:tbl>
    <w:p w14:paraId="32C00D1E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83614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1</w:t>
    </w:r>
    <w:r>
      <w:rPr>
        <w:rStyle w:val="24"/>
      </w:rPr>
      <w:fldChar w:fldCharType="end"/>
    </w:r>
  </w:p>
  <w:p w14:paraId="20768A5D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58A8E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1CE32585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C4819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DB47E6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E5D7C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83043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  <w:rsid w:val="62DB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uiPriority w:val="99"/>
    <w:rPr>
      <w:color w:val="0000FF"/>
      <w:u w:val="single"/>
    </w:rPr>
  </w:style>
  <w:style w:type="character" w:customStyle="1" w:styleId="26">
    <w:name w:val="标题 Char"/>
    <w:basedOn w:val="22"/>
    <w:link w:val="19"/>
    <w:uiPriority w:val="0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7494;&#19968;&#24070;~1\AppData\Local\Temp\tmp1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Pages>10</Pages>
  <Words>2324</Words>
  <Characters>3807</Characters>
  <Lines>20</Lines>
  <Paragraphs>5</Paragraphs>
  <TotalTime>0</TotalTime>
  <ScaleCrop>false</ScaleCrop>
  <LinksUpToDate>false</LinksUpToDate>
  <CharactersWithSpaces>5281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2024-12-21T07:18:00Z</dcterms:created>
  <dc:creator>别吵</dc:creator>
  <cp:lastModifiedBy>别吵</cp:lastModifiedBy>
  <dcterms:modified xsi:type="dcterms:W3CDTF">2024-12-21T07:18:26Z</dcterms:modified>
  <dc:title>住区热环境规定性设计计算书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86ECCF97ED6B43A3A3C14D08D1CD83E2_11</vt:lpwstr>
  </property>
  <property fmtid="{D5CDD505-2E9C-101B-9397-08002B2CF9AE}" pid="3" name="KSOProductBuildVer">
    <vt:lpwstr>2052-12.1.0.19302</vt:lpwstr>
  </property>
</Properties>
</file>