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关于昆明三机厂绿色低碳改造服务项目建筑形体规则性判定报告》</w:t>
      </w:r>
    </w:p>
    <w:p>
      <w:pPr>
        <w:pStyle w:val="Heading2"/>
      </w:pPr>
      <w:r>
        <w:t xml:space="preserve">一、项目概述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项目地址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建筑面积</w:t>
      </w:r>
      <w:r>
        <w:t xml:space="preserve">：14518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用地面积</w:t>
      </w:r>
      <w:r>
        <w:t xml:space="preserve">：7218.2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结构类型</w:t>
      </w:r>
      <w:r>
        <w:t xml:space="preserve">：混凝土结构</w:t>
      </w:r>
    </w:p>
    <w:p>
      <w:pPr>
        <w:pStyle w:val="text"/>
      </w:pPr>
      <w:r>
        <w:t xml:space="preserve">本次改造旨在将原昆明三机厂厂区转变为绿色低碳建筑，通过对太阳能利用、通风、遮阳、采光及材料等多方面进行绿色建筑设计，综合考虑现有功能定位并新增功能，提升建筑性能与周边环境协调性。现依据相关规范对其建筑形体规则性进行判定。</w:t>
      </w:r>
    </w:p>
    <w:p>
      <w:pPr>
        <w:pStyle w:val="Heading2"/>
      </w:pPr>
      <w:r>
        <w:t xml:space="preserve">二、判定依据</w:t>
      </w:r>
    </w:p>
    <w:p>
      <w:pPr>
        <w:pStyle w:val="text"/>
        <w:numPr>
          <w:ilvl w:val="0"/>
          <w:numId w:val="3"/>
        </w:numPr>
      </w:pPr>
      <w:r>
        <w:t xml:space="preserve">《建筑抗震设计规范》（GB 50011 - 2010）（2016 年版）</w:t>
      </w:r>
    </w:p>
    <w:p>
      <w:pPr>
        <w:pStyle w:val="text"/>
        <w:numPr>
          <w:ilvl w:val="0"/>
          <w:numId w:val="3"/>
        </w:numPr>
      </w:pPr>
      <w:r>
        <w:t xml:space="preserve">《高层建筑混凝土结构技术规程》（JGJ 3 - 2010）</w:t>
      </w:r>
    </w:p>
    <w:p>
      <w:pPr>
        <w:pStyle w:val="text"/>
        <w:numPr>
          <w:ilvl w:val="0"/>
          <w:numId w:val="3"/>
        </w:numPr>
      </w:pPr>
      <w:r>
        <w:t xml:space="preserve">其他相关的国家、行业及地方标准</w:t>
      </w:r>
    </w:p>
    <w:p>
      <w:pPr>
        <w:pStyle w:val="Heading2"/>
      </w:pPr>
      <w:r>
        <w:t xml:space="preserve">三、建筑形体规则性分析</w:t>
      </w:r>
    </w:p>
    <w:p>
      <w:pPr>
        <w:pStyle w:val="Heading3"/>
      </w:pPr>
      <w:r>
        <w:t xml:space="preserve">（一）平面规则性分析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平面形状</w:t>
      </w:r>
    </w:p>
    <w:p>
      <w:pPr>
        <w:pStyle w:val="text"/>
        <w:numPr>
          <w:ilvl w:val="1"/>
          <w:numId w:val="5"/>
        </w:numPr>
      </w:pPr>
      <w:r>
        <w:t xml:space="preserve">项目整体平面形状较为规整，无明显的凹进、凸出或不规则几何形状。建筑主体部分呈矩形布局，有利于结构受力及空间利用。各功能区域划分明确，通过连廊连接不同部分，连廊布置合理，未对整体平面规则性产生不利影响。</w:t>
      </w:r>
    </w:p>
    <w:p>
      <w:pPr>
        <w:pStyle w:val="text"/>
        <w:numPr>
          <w:ilvl w:val="1"/>
          <w:numId w:val="5"/>
        </w:numPr>
      </w:pPr>
      <w:r>
        <w:t xml:space="preserve">教学楼部分平面方正，内部空间布局紧凑且对称，教室、走廊等功能空间排列有序，有助于均匀分配水平地震力，符合平面规则性要求。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质量与刚度分布</w:t>
      </w:r>
    </w:p>
    <w:p>
      <w:pPr>
        <w:pStyle w:val="text"/>
        <w:numPr>
          <w:ilvl w:val="1"/>
          <w:numId w:val="5"/>
        </w:numPr>
      </w:pPr>
      <w:r>
        <w:t xml:space="preserve">通过结构计算分析，建筑在平面方向上质量与刚度分布基本均匀。各楼层的质量中心与刚度中心较为接近，经计算，质量偏心距与相应边长的比值小于 0.15，满足规范对平面规则性的要求。这意味着在地震作用下，建筑结构不易产生过大的扭转效应，有利于结构的整体稳定性。</w:t>
      </w:r>
    </w:p>
    <w:p>
      <w:pPr>
        <w:pStyle w:val="text"/>
        <w:numPr>
          <w:ilvl w:val="1"/>
          <w:numId w:val="5"/>
        </w:numPr>
      </w:pPr>
      <w:r>
        <w:t xml:space="preserve">例如，在对屋面太阳能板及屋顶花园等附加结构进行设计时，充分考虑了其重量及位置对整体质量与刚度分布的影响，确保不会导致平面不规则情况的出现。</w:t>
      </w:r>
    </w:p>
    <w:p>
      <w:pPr>
        <w:pStyle w:val="Heading3"/>
      </w:pPr>
      <w:r>
        <w:t xml:space="preserve">（二）竖向规则性分析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竖向体型</w:t>
      </w:r>
    </w:p>
    <w:p>
      <w:pPr>
        <w:pStyle w:val="text"/>
        <w:numPr>
          <w:ilvl w:val="1"/>
          <w:numId w:val="5"/>
        </w:numPr>
      </w:pPr>
      <w:r>
        <w:t xml:space="preserve">建筑在竖向体型上变化较为均匀，无过大的外挑或内收。从基础到屋面，建筑的竖向轮廓保持相对一致，各楼层的层高变化在合理范围内，避免了因竖向体型突变而产生的应力集中现象。</w:t>
      </w:r>
    </w:p>
    <w:p>
      <w:pPr>
        <w:pStyle w:val="text"/>
        <w:numPr>
          <w:ilvl w:val="1"/>
          <w:numId w:val="5"/>
        </w:numPr>
      </w:pPr>
      <w:r>
        <w:t xml:space="preserve">教学楼部分设置中亭，中亭从一层贯通至顶层，其竖向贯通的空间设计在保证内部通风采光的同时，通过合理的结构布置，未对建筑竖向规则性造成不利影响。中亭周边结构构件的布置与主体结构协调统一，维持了竖向刚度的连续性。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竖向刚度与承载力变化</w:t>
      </w:r>
    </w:p>
    <w:p>
      <w:pPr>
        <w:pStyle w:val="text"/>
        <w:numPr>
          <w:ilvl w:val="1"/>
          <w:numId w:val="5"/>
        </w:numPr>
      </w:pPr>
      <w:r>
        <w:t xml:space="preserve">经结构计算，各楼层的侧向刚度比满足规范要求。相邻楼层的侧向刚度比均大于 0.7，且连续三层的侧向刚度比平均值大于 0.8。竖向承载力变化也较为均匀，相邻楼层的承载力之比在合理范围内，未出现突变情况。这表明建筑在竖向具有良好的刚度与承载力分布，能够有效抵抗竖向地震作用及竖向荷载。</w:t>
      </w:r>
    </w:p>
    <w:p>
      <w:pPr>
        <w:pStyle w:val="text"/>
        <w:numPr>
          <w:ilvl w:val="1"/>
          <w:numId w:val="5"/>
        </w:numPr>
      </w:pPr>
      <w:r>
        <w:t xml:space="preserve">例如，在基础设计及上部结构构件尺寸选取时，充分考虑了竖向刚度与承载力的渐变要求，确保结构在竖向的规则性。同时，对不同楼层的荷载分布进行了详细分析，合理调整结构构件的截面尺寸与配筋，以保证竖向规则性。</w:t>
      </w:r>
    </w:p>
    <w:p>
      <w:pPr>
        <w:pStyle w:val="Heading2"/>
      </w:pPr>
      <w:r>
        <w:t xml:space="preserve">四、判定结论</w:t>
      </w:r>
    </w:p>
    <w:p>
      <w:pPr>
        <w:pStyle w:val="text"/>
        <w:numPr>
          <w:ilvl w:val="0"/>
          <w:numId w:val="9"/>
        </w:numPr>
      </w:pPr>
      <w:r>
        <w:t xml:space="preserve">综合以上对平面规则性及竖向规则性的分析，纺织未来 —— 关于昆明三机厂绿色低碳改造服务项目建筑形体规则性良好，符合《建筑抗震设计规范》及相关标准对建筑形体规则性的要求。</w:t>
      </w:r>
    </w:p>
    <w:p>
      <w:pPr>
        <w:pStyle w:val="text"/>
        <w:numPr>
          <w:ilvl w:val="0"/>
          <w:numId w:val="9"/>
        </w:numPr>
      </w:pPr>
      <w:r>
        <w:t xml:space="preserve">规则的建筑形体有利于结构设计与抗震性能的提升，能够在地震等自然灾害发生时，保障建筑结构的安全稳定，为使用者提供可靠的空间环境，同时也与项目绿色低碳、可持续发展的设计理念相契合。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2025-03-09T10:09:51.858Z</dcterms:created>
  <dcterms:modified xsi:type="dcterms:W3CDTF">2025-03-09T10:09:51.858Z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