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纺织未来 —— 关于昆明三机厂绿色低碳改造服务项目主体与围护结构计算书</w:t>
      </w:r>
    </w:p>
    <w:p>
      <w:pPr>
        <w:pStyle w:val="Heading2"/>
      </w:pPr>
      <w:r>
        <w:t xml:space="preserve">一、工程概况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项目名称</w:t>
      </w:r>
      <w:r>
        <w:t xml:space="preserve">：纺织未来 —— 关于昆明三机厂绿色低碳改造服务项目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项目地点</w:t>
      </w:r>
      <w:r>
        <w:t xml:space="preserve">：云南省昆明市官渡区东风东路 145 号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建筑面积</w:t>
      </w:r>
      <w:r>
        <w:t xml:space="preserve">：14518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用地面积</w:t>
      </w:r>
      <w:r>
        <w:t xml:space="preserve">：7218.2 平方米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结构类型</w:t>
      </w:r>
      <w:r>
        <w:t xml:space="preserve">：混凝土结构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建筑功能</w:t>
      </w:r>
      <w:r>
        <w:t xml:space="preserve">：改造后主要用作教育园区，包含教学楼、休闲活动区域等。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抗震设防烈度</w:t>
      </w:r>
      <w:r>
        <w:t xml:space="preserve">：根据当地相关规定及地质条件，确定抗震设防烈度为 8 度。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设计使用年限</w:t>
      </w:r>
      <w:r>
        <w:t xml:space="preserve">：50 年</w:t>
      </w:r>
    </w:p>
    <w:p>
      <w:pPr>
        <w:pStyle w:val="Heading2"/>
      </w:pPr>
      <w:r>
        <w:t xml:space="preserve">二、设计依据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主要规范及标准</w:t>
      </w:r>
    </w:p>
    <w:p>
      <w:pPr>
        <w:pStyle w:val="text"/>
        <w:numPr>
          <w:ilvl w:val="1"/>
          <w:numId w:val="4"/>
        </w:numPr>
      </w:pPr>
      <w:r>
        <w:t xml:space="preserve">《建筑结构荷载规范》（GB 50009 - 2012）</w:t>
      </w:r>
    </w:p>
    <w:p>
      <w:pPr>
        <w:pStyle w:val="text"/>
        <w:numPr>
          <w:ilvl w:val="1"/>
          <w:numId w:val="4"/>
        </w:numPr>
      </w:pPr>
      <w:r>
        <w:t xml:space="preserve">《混凝土结构设计规范》（GB 50010 - 2010）（2015 年版）</w:t>
      </w:r>
    </w:p>
    <w:p>
      <w:pPr>
        <w:pStyle w:val="text"/>
        <w:numPr>
          <w:ilvl w:val="1"/>
          <w:numId w:val="4"/>
        </w:numPr>
      </w:pPr>
      <w:r>
        <w:t xml:space="preserve">《建筑抗震设计规范》（GB 50011 - 2010）（2016 年版）</w:t>
      </w:r>
    </w:p>
    <w:p>
      <w:pPr>
        <w:pStyle w:val="text"/>
        <w:numPr>
          <w:ilvl w:val="1"/>
          <w:numId w:val="4"/>
        </w:numPr>
      </w:pPr>
      <w:r>
        <w:t xml:space="preserve">《建筑地基基础设计规范》（GB 50007 - 2011）</w:t>
      </w:r>
    </w:p>
    <w:p>
      <w:pPr>
        <w:pStyle w:val="text"/>
        <w:numPr>
          <w:ilvl w:val="1"/>
          <w:numId w:val="4"/>
        </w:numPr>
      </w:pPr>
      <w:r>
        <w:t xml:space="preserve">《建筑设计防火规范》（GB 50016 - 2014）（2018 年版）</w:t>
      </w:r>
    </w:p>
    <w:p>
      <w:pPr>
        <w:pStyle w:val="text"/>
        <w:numPr>
          <w:ilvl w:val="1"/>
          <w:numId w:val="4"/>
        </w:numPr>
      </w:pPr>
      <w:r>
        <w:t xml:space="preserve">其他相关的国家、行业及地方标准和规范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设计资料</w:t>
      </w:r>
    </w:p>
    <w:p>
      <w:pPr>
        <w:pStyle w:val="text"/>
        <w:numPr>
          <w:ilvl w:val="1"/>
          <w:numId w:val="4"/>
        </w:numPr>
      </w:pPr>
      <w:r>
        <w:t xml:space="preserve">项目建筑设计图纸，包括平面图、剖面图、立面图等。</w:t>
      </w:r>
    </w:p>
    <w:p>
      <w:pPr>
        <w:pStyle w:val="text"/>
        <w:numPr>
          <w:ilvl w:val="1"/>
          <w:numId w:val="4"/>
        </w:numPr>
      </w:pPr>
      <w:r>
        <w:t xml:space="preserve">地质勘察报告，提供场地的地质条件、土层分布、地基承载力特征值为 200kPa 等信息。</w:t>
      </w:r>
    </w:p>
    <w:p>
      <w:pPr>
        <w:pStyle w:val="text"/>
        <w:numPr>
          <w:ilvl w:val="1"/>
          <w:numId w:val="4"/>
        </w:numPr>
      </w:pPr>
      <w:r>
        <w:t xml:space="preserve">建设单位提供的设计要求和相关文件。</w:t>
      </w:r>
    </w:p>
    <w:p>
      <w:pPr>
        <w:pStyle w:val="Heading2"/>
      </w:pPr>
      <w:r>
        <w:t xml:space="preserve">三、荷载取值</w:t>
      </w:r>
    </w:p>
    <w:p>
      <w:pPr>
        <w:pStyle w:val="text"/>
        <w:numPr>
          <w:ilvl w:val="0"/>
          <w:numId w:val="6"/>
        </w:numPr>
      </w:pPr>
      <w:r>
        <w:rPr>
          <w:b/>
          <w:bCs/>
        </w:rPr>
        <w:t xml:space="preserve">恒荷载</w:t>
      </w:r>
    </w:p>
    <w:p>
      <w:pPr>
        <w:pStyle w:val="text"/>
        <w:numPr>
          <w:ilvl w:val="1"/>
          <w:numId w:val="4"/>
        </w:numPr>
      </w:pPr>
      <w:r>
        <w:t xml:space="preserve">结构构件自重：根据构件的尺寸和材料容重计算，混凝土容重取 25kN/m³，钢材容重取 78.5kN/m³。如框架柱尺寸为 600mm×600mm，每米柱自重为 25×0.6×0.6×1 = 9kN/m ；框架梁截面尺寸 300mm×600mm，每米梁自重为 25×0.3×0.6×1 = 4.5kN/m。</w:t>
      </w:r>
    </w:p>
    <w:p>
      <w:pPr>
        <w:pStyle w:val="text"/>
        <w:numPr>
          <w:ilvl w:val="1"/>
          <w:numId w:val="4"/>
        </w:numPr>
      </w:pPr>
      <w:r>
        <w:t xml:space="preserve">建筑装修及设备荷载：参考《建筑结构荷载规范》及建筑设计方案确定。教学楼教室楼地面装修荷载取 1.5kN/m²，屋面防水保温层等荷载取 2.0kN/m²。</w:t>
      </w:r>
    </w:p>
    <w:p>
      <w:pPr>
        <w:pStyle w:val="text"/>
        <w:numPr>
          <w:ilvl w:val="0"/>
          <w:numId w:val="7"/>
        </w:numPr>
      </w:pPr>
      <w:r>
        <w:rPr>
          <w:b/>
          <w:bCs/>
        </w:rPr>
        <w:t xml:space="preserve">活荷载</w:t>
      </w:r>
    </w:p>
    <w:p>
      <w:pPr>
        <w:pStyle w:val="text"/>
        <w:numPr>
          <w:ilvl w:val="1"/>
          <w:numId w:val="4"/>
        </w:numPr>
      </w:pPr>
      <w:r>
        <w:t xml:space="preserve">教学楼教室：2.0kN/m²</w:t>
      </w:r>
    </w:p>
    <w:p>
      <w:pPr>
        <w:pStyle w:val="text"/>
        <w:numPr>
          <w:ilvl w:val="1"/>
          <w:numId w:val="4"/>
        </w:numPr>
      </w:pPr>
      <w:r>
        <w:t xml:space="preserve">走廊、楼梯：2.5kN/m²</w:t>
      </w:r>
    </w:p>
    <w:p>
      <w:pPr>
        <w:pStyle w:val="text"/>
        <w:numPr>
          <w:ilvl w:val="1"/>
          <w:numId w:val="4"/>
        </w:numPr>
      </w:pPr>
      <w:r>
        <w:t xml:space="preserve">屋顶花园：3.0kN/m²（考虑植物、土壤及人员活动等荷载）</w:t>
      </w:r>
    </w:p>
    <w:p>
      <w:pPr>
        <w:pStyle w:val="text"/>
        <w:numPr>
          <w:ilvl w:val="1"/>
          <w:numId w:val="4"/>
        </w:numPr>
      </w:pPr>
      <w:r>
        <w:t xml:space="preserve">停车场：4.0kN/m²</w:t>
      </w:r>
    </w:p>
    <w:p>
      <w:pPr>
        <w:pStyle w:val="text"/>
        <w:numPr>
          <w:ilvl w:val="1"/>
          <w:numId w:val="4"/>
        </w:numPr>
      </w:pPr>
      <w:r>
        <w:t xml:space="preserve">其他区域根据实际使用功能按规范取值。</w:t>
      </w:r>
    </w:p>
    <w:p>
      <w:pPr>
        <w:pStyle w:val="text"/>
        <w:numPr>
          <w:ilvl w:val="0"/>
          <w:numId w:val="8"/>
        </w:numPr>
      </w:pPr>
      <w:r>
        <w:rPr>
          <w:b/>
          <w:bCs/>
        </w:rPr>
        <w:t xml:space="preserve">风荷载</w:t>
      </w:r>
    </w:p>
    <w:p>
      <w:pPr>
        <w:pStyle w:val="text"/>
        <w:numPr>
          <w:ilvl w:val="1"/>
          <w:numId w:val="4"/>
        </w:numPr>
      </w:pPr>
      <w:r>
        <w:t xml:space="preserve">根据当地的基本风压值 0.35kN/m²（参考《建筑结构荷载规范》），结合建筑的高度 20 米、体型系数 1.3、风振系数 1.15 等参数计算风荷载。风荷载标准值计算公式为 ωk = βzμsμzω0 ，经计算，本项目风荷载标准值 ωk = 1.15×1.3×1.12×0.35 = 0.59kN/m² （其中 μz 根据建筑高度及场地类别确定为 1.12）。</w:t>
      </w:r>
    </w:p>
    <w:p>
      <w:pPr>
        <w:pStyle w:val="text"/>
        <w:numPr>
          <w:ilvl w:val="0"/>
          <w:numId w:val="9"/>
        </w:numPr>
      </w:pPr>
      <w:r>
        <w:rPr>
          <w:b/>
          <w:bCs/>
        </w:rPr>
        <w:t xml:space="preserve">地震作用</w:t>
      </w:r>
    </w:p>
    <w:p>
      <w:pPr>
        <w:pStyle w:val="text"/>
        <w:numPr>
          <w:ilvl w:val="1"/>
          <w:numId w:val="4"/>
        </w:numPr>
      </w:pPr>
      <w:r>
        <w:t xml:space="preserve">依据抗震设防烈度 8 度、场地类别 Ⅱ 类、设计地震分组为第一组等参数，按照《建筑抗震设计规范》的规定计算地震作用。采用底部剪力法计算，结构总水平地震作用标准值计算公式为 FEk = α1Geq ，其中 α1 为相应于结构基本自振周期的水平地震影响系数，经计算 α1 = 0.16 ，Geq 为结构等效总重力荷载代表值，Geq = 0.85×∑Gi（Gi 为各质点重力荷载代表值），计算可得 FEk = 15000kN（具体计算过程根据结构布置及荷载取值详细计算）。</w:t>
      </w:r>
    </w:p>
    <w:p>
      <w:pPr>
        <w:pStyle w:val="Heading2"/>
      </w:pPr>
      <w:r>
        <w:t xml:space="preserve">四、主体结构计算</w:t>
      </w:r>
    </w:p>
    <w:p>
      <w:pPr>
        <w:pStyle w:val="text"/>
        <w:numPr>
          <w:ilvl w:val="0"/>
          <w:numId w:val="10"/>
        </w:numPr>
      </w:pPr>
      <w:r>
        <w:rPr>
          <w:b/>
          <w:bCs/>
        </w:rPr>
        <w:t xml:space="preserve">结构布置</w:t>
      </w:r>
    </w:p>
    <w:p>
      <w:pPr>
        <w:pStyle w:val="text"/>
        <w:numPr>
          <w:ilvl w:val="1"/>
          <w:numId w:val="4"/>
        </w:numPr>
      </w:pPr>
      <w:r>
        <w:t xml:space="preserve">建筑采用框架结构体系，柱网布置为 8m×8m 。框架柱采用矩形截面，尺寸为 600mm×600mm，框架梁截面尺寸根据跨度和荷载情况确定，8m 跨度梁截面尺寸为 300mm×600mm。</w:t>
      </w:r>
    </w:p>
    <w:p>
      <w:pPr>
        <w:pStyle w:val="text"/>
        <w:numPr>
          <w:ilvl w:val="1"/>
          <w:numId w:val="4"/>
        </w:numPr>
      </w:pPr>
      <w:r>
        <w:t xml:space="preserve">结构传力路径为：楼面板承受的荷载传递到次梁，次梁传递到框架梁，框架梁将荷载传递到框架柱，最后由柱传递到基础。</w:t>
      </w:r>
    </w:p>
    <w:p>
      <w:pPr>
        <w:pStyle w:val="text"/>
        <w:numPr>
          <w:ilvl w:val="0"/>
          <w:numId w:val="11"/>
        </w:numPr>
      </w:pPr>
      <w:r>
        <w:rPr>
          <w:b/>
          <w:bCs/>
        </w:rPr>
        <w:t xml:space="preserve">计算模型</w:t>
      </w:r>
    </w:p>
    <w:p>
      <w:pPr>
        <w:pStyle w:val="text"/>
        <w:numPr>
          <w:ilvl w:val="1"/>
          <w:numId w:val="4"/>
        </w:numPr>
      </w:pPr>
      <w:r>
        <w:t xml:space="preserve">采用 PKPM 专业结构计算软件建立结构计算模型。模型准确反映建筑的实际结构布置和边界条件，将结构划分为梁单元、柱单元等基本单元，并赋予相应的 C30 混凝土材料属性（抗压强度设计值 fc = 14.3N/mm² ，抗拉强度设计值 ft = 1.43N/mm² ）和截面尺寸。</w:t>
      </w:r>
    </w:p>
    <w:p>
      <w:pPr>
        <w:pStyle w:val="text"/>
        <w:numPr>
          <w:ilvl w:val="0"/>
          <w:numId w:val="12"/>
        </w:numPr>
      </w:pPr>
      <w:r>
        <w:rPr>
          <w:b/>
          <w:bCs/>
        </w:rPr>
        <w:t xml:space="preserve">内力计算</w:t>
      </w:r>
    </w:p>
    <w:p>
      <w:pPr>
        <w:pStyle w:val="text"/>
        <w:numPr>
          <w:ilvl w:val="1"/>
          <w:numId w:val="4"/>
        </w:numPr>
      </w:pPr>
      <w:r>
        <w:t xml:space="preserve">进行恒荷载、活荷载、风荷载和地震作用下的内力分析。以某框架梁为例，恒荷载作用下跨中弯矩为 30kN・m ，活荷载作用下跨中弯矩为 20kN・m ，风荷载作用下跨中弯矩为 10kN・m ，地震作用下跨中弯矩为 15kN・m 。</w:t>
      </w:r>
    </w:p>
    <w:p>
      <w:pPr>
        <w:pStyle w:val="text"/>
        <w:numPr>
          <w:ilvl w:val="1"/>
          <w:numId w:val="4"/>
        </w:numPr>
      </w:pPr>
      <w:r>
        <w:t xml:space="preserve">考虑荷载的组合效应，按照《建筑结构荷载规范》的规定进行荷载组合。以基本组合为例，1.35 恒 + 1.4×0.7 活 + 1.4×0.6 风 + 1.3 地震，经组合计算，该框架梁跨中最不利弯矩组合值为 1.35×30 + 1.4×0.7×20 + 1.4×0.6×10 + 1.3×15 = 87.4kN・m 。</w:t>
      </w:r>
    </w:p>
    <w:p>
      <w:pPr>
        <w:pStyle w:val="text"/>
        <w:numPr>
          <w:ilvl w:val="0"/>
          <w:numId w:val="13"/>
        </w:numPr>
      </w:pPr>
      <w:r>
        <w:rPr>
          <w:b/>
          <w:bCs/>
        </w:rPr>
        <w:t xml:space="preserve">构件设计与验算</w:t>
      </w:r>
    </w:p>
    <w:p>
      <w:pPr>
        <w:pStyle w:val="text"/>
        <w:numPr>
          <w:ilvl w:val="1"/>
          <w:numId w:val="4"/>
        </w:numPr>
      </w:pPr>
      <w:r>
        <w:t xml:space="preserve">根据内力计算结果，按照《混凝土结构设计规范》的要求进行梁、柱等构件的截面设计。框架梁混凝土强度等级为 C30 ，经计算配筋率为 0.8% ，纵向受力钢筋选用 HRB400 级钢筋，直径为 20mm ，箍筋采用 HPB300 级钢筋，直径为 8mm ，间距 150mm 。</w:t>
      </w:r>
    </w:p>
    <w:p>
      <w:pPr>
        <w:pStyle w:val="text"/>
        <w:numPr>
          <w:ilvl w:val="1"/>
          <w:numId w:val="4"/>
        </w:numPr>
      </w:pPr>
      <w:r>
        <w:t xml:space="preserve">对构件进行承载力验算，以框架梁为例，正截面受弯承载力计算公式为 α1fcbx (h0 - x/2) = M ，经计算满足设计要求；斜截面受剪承载力计算公式为 V ≤ 0.7ftbh0 + fyvAsv/h0s ，计算结果显示也满足要求。同时，进行变形验算，框架梁的挠度控制在 l/250（l 为梁跨度）以内，经计算挠度为 15mm ，满足规范要求；裂缝宽度控制在 0.3mm 以内，经计算裂缝宽度为 0.25mm ，符合规范允许范围。</w:t>
      </w:r>
    </w:p>
    <w:p>
      <w:pPr>
        <w:pStyle w:val="text"/>
        <w:numPr>
          <w:ilvl w:val="1"/>
          <w:numId w:val="4"/>
        </w:numPr>
      </w:pPr>
      <w:r>
        <w:t xml:space="preserve">框架柱设计同理，混凝土强度等级 C30 ，配筋率 1.2% ，经各项承载力及稳定性验算均满足设计要求。</w:t>
      </w:r>
    </w:p>
    <w:p>
      <w:pPr>
        <w:pStyle w:val="text"/>
        <w:numPr>
          <w:ilvl w:val="0"/>
          <w:numId w:val="14"/>
        </w:numPr>
      </w:pPr>
      <w:r>
        <w:rPr>
          <w:b/>
          <w:bCs/>
        </w:rPr>
        <w:t xml:space="preserve">基础设计</w:t>
      </w:r>
    </w:p>
    <w:p>
      <w:pPr>
        <w:pStyle w:val="text"/>
        <w:numPr>
          <w:ilvl w:val="1"/>
          <w:numId w:val="4"/>
        </w:numPr>
      </w:pPr>
      <w:r>
        <w:t xml:space="preserve">根据地质勘察报告和上部结构的荷载情况，选择独立基础形式。以某框架柱基础为例，上部结构传至基础顶面的竖向力 Fk = 1200kN ，弯矩 Mk = 150kN・m ，基础底面尺寸经计算确定为 2.5m×2.5m ，基础埋深为 2.0m 。</w:t>
      </w:r>
    </w:p>
    <w:p>
      <w:pPr>
        <w:pStyle w:val="text"/>
        <w:numPr>
          <w:ilvl w:val="1"/>
          <w:numId w:val="4"/>
        </w:numPr>
      </w:pPr>
      <w:r>
        <w:t xml:space="preserve">进行基础的抗倾覆、抗滑移验算以及地基承载力验算。地基承载力特征值修正后为 230kPa ，基础底面压力 pk = Fk/A + Mk/W = 1200/(2.5×2.5) + 150/(2.5×2.5²/6) = 201.6kPa＜230kPa ，满足地基承载力要求；抗倾覆、抗滑移验算结果也均满足规范要求。</w:t>
      </w:r>
    </w:p>
    <w:p>
      <w:pPr>
        <w:pStyle w:val="Heading2"/>
      </w:pPr>
      <w:r>
        <w:t xml:space="preserve">五、围护结构计算</w:t>
      </w:r>
    </w:p>
    <w:p>
      <w:pPr>
        <w:pStyle w:val="text"/>
        <w:numPr>
          <w:ilvl w:val="0"/>
          <w:numId w:val="15"/>
        </w:numPr>
      </w:pPr>
      <w:r>
        <w:rPr>
          <w:b/>
          <w:bCs/>
        </w:rPr>
        <w:t xml:space="preserve">墙体结构</w:t>
      </w:r>
    </w:p>
    <w:p>
      <w:pPr>
        <w:pStyle w:val="text"/>
        <w:numPr>
          <w:ilvl w:val="1"/>
          <w:numId w:val="4"/>
        </w:numPr>
      </w:pPr>
      <w:r>
        <w:t xml:space="preserve">围护墙体采用 200mm 厚加气混凝土砌块墙体，墙体容重为 6kN/m³ 。墙体与主体结构通过拉结筋连接，拉结筋直径 6mm ，间距 500mm 。</w:t>
      </w:r>
    </w:p>
    <w:p>
      <w:pPr>
        <w:pStyle w:val="text"/>
        <w:numPr>
          <w:ilvl w:val="1"/>
          <w:numId w:val="4"/>
        </w:numPr>
      </w:pPr>
      <w:r>
        <w:t xml:space="preserve">计算墙体的自重荷载，每平方米墙体自重为 6×0.2 = 1.2kN/m² 。考虑风荷载标准值 0.59kN/m² ，地震作用对墙体的影响（通过地震作用分项系数及组合值系数考虑）。对墙体进行承载力验算，抗压承载力计算公式为 N ≤ φfA ，经计算满足要求；抗剪承载力计算公式为 V ≤ (fvk + 0.4σ0) A ，计算结果显示满足要求。</w:t>
      </w:r>
    </w:p>
    <w:p>
      <w:pPr>
        <w:pStyle w:val="text"/>
        <w:numPr>
          <w:ilvl w:val="1"/>
          <w:numId w:val="4"/>
        </w:numPr>
      </w:pPr>
      <w:r>
        <w:t xml:space="preserve">对于有门窗洞口的墙体，在洞口边缘设置构造柱和过梁进行加强设计。构造柱尺寸为 200mm×200mm ，配 4 根直径 12mm 的纵筋，箍筋直径 6mm ，间距 200mm ；过梁根据洞口尺寸及荷载情况设计，如 1.5m 宽洞口过梁截面尺寸为 200mm×300mm ，配筋为 3 根直径 12mm 的纵筋，箍筋直径 6mm ，间距 150mm 。经对洞口边缘加强部位进行承载力验算，满足墙体整体稳定性要求。</w:t>
      </w:r>
    </w:p>
    <w:p>
      <w:pPr>
        <w:pStyle w:val="text"/>
        <w:numPr>
          <w:ilvl w:val="0"/>
          <w:numId w:val="16"/>
        </w:numPr>
      </w:pPr>
      <w:r>
        <w:rPr>
          <w:b/>
          <w:bCs/>
        </w:rPr>
        <w:t xml:space="preserve">屋面结构</w:t>
      </w:r>
    </w:p>
    <w:p>
      <w:pPr>
        <w:pStyle w:val="text"/>
        <w:numPr>
          <w:ilvl w:val="1"/>
          <w:numId w:val="4"/>
        </w:numPr>
      </w:pPr>
      <w:r>
        <w:t xml:space="preserve">屋面构造层次为：防水层采用 3mm 厚 SBS 防水卷材，重量为 0.3kN/m² ；保温层采用 50mm 厚聚苯板，重量为 0.2kN/m² ；找坡层采用 1:8 水泥珍珠岩，平均厚度 60mm ，重量为 0.3kN/m² 。</w:t>
      </w:r>
    </w:p>
    <w:p>
      <w:pPr>
        <w:pStyle w:val="text"/>
        <w:numPr>
          <w:ilvl w:val="1"/>
          <w:numId w:val="4"/>
        </w:numPr>
      </w:pPr>
      <w:r>
        <w:t xml:space="preserve">计算屋面的恒荷载为 2.0 + 0.3 + 0.2 + 0.3 = 2.8kN/m² ，活荷载为 3.0kN/m² ，考虑风荷载对屋面的吸力作用，风荷载标准值为 - 0.59kN/m² （吸力为负）。对屋面结构进行承载力验算，以屋面板为例，采用双向板计算模型，板厚 120mm ，混凝土强度等级 C25 ，配筋率 0.6% 。经正截面受弯承载力、斜截面受剪承载力验算满足要求；屋面支撑系统采用钢梁，经稳定性验算满足要求。</w:t>
      </w:r>
    </w:p>
    <w:p>
      <w:pPr>
        <w:pStyle w:val="text"/>
        <w:numPr>
          <w:ilvl w:val="1"/>
          <w:numId w:val="4"/>
        </w:numPr>
      </w:pPr>
      <w:r>
        <w:t xml:space="preserve">对于屋面铺设太阳能板的区域，太阳能板及支架重量为 0.5kN/m² ，在结构设计时对该区域屋面板及支撑系统进行加强。经计算，加强后的结构在新增荷载作用下各项承载力及稳定性均满足要求。</w:t>
      </w:r>
    </w:p>
    <w:p>
      <w:pPr>
        <w:pStyle w:val="text"/>
        <w:numPr>
          <w:ilvl w:val="0"/>
          <w:numId w:val="17"/>
        </w:numPr>
      </w:pPr>
      <w:r>
        <w:rPr>
          <w:b/>
          <w:bCs/>
        </w:rPr>
        <w:t xml:space="preserve">门窗结构</w:t>
      </w:r>
    </w:p>
    <w:p>
      <w:pPr>
        <w:pStyle w:val="text"/>
        <w:numPr>
          <w:ilvl w:val="1"/>
          <w:numId w:val="4"/>
        </w:numPr>
      </w:pPr>
      <w:r>
        <w:t xml:space="preserve">门窗采用铝合金门窗，框料采用 60 系列铝合金型材，玻璃采用 5mm 厚双层中空玻璃。门窗尺寸根据建筑设计要求确定，如教室门尺寸为 1.0m×2.1m ，窗尺寸为 1.8m×1.5m 。</w:t>
      </w:r>
    </w:p>
    <w:p>
      <w:pPr>
        <w:pStyle w:val="text"/>
        <w:numPr>
          <w:ilvl w:val="1"/>
          <w:numId w:val="4"/>
        </w:numPr>
      </w:pPr>
      <w:r>
        <w:t xml:space="preserve">计算门窗的风荷载标准值为 0.59kN/m² ，地震作用通过地震作用分项系数及组合值系数考虑。对门窗的框料进行强度验算，根据铝合金型材的强度设计值及受力情况计算，满足要求；对玻璃进行强度和稳定性验算，采用玻璃强度设计值及相关计算公式，计算结果显示满足要求，确保门窗在正常使用和自然灾害情况下的安全性和可靠性。</w:t>
      </w:r>
    </w:p>
    <w:p>
      <w:pPr>
        <w:pStyle w:val="Heading2"/>
      </w:pPr>
      <w:r>
        <w:t xml:space="preserve">六、结论</w:t>
      </w:r>
    </w:p>
    <w:p>
      <w:pPr>
        <w:pStyle w:val="text"/>
        <w:numPr>
          <w:ilvl w:val="0"/>
          <w:numId w:val="18"/>
        </w:numPr>
      </w:pPr>
      <w:r>
        <w:t xml:space="preserve">通过对主体结构和围护结构的计算分析，本项目的结构设计满足相关规范和设计要求，在恒荷载、活荷载、风荷载和地震作用下，结构构件具有足够的承载力、稳定性和变形能力。</w:t>
      </w:r>
    </w:p>
    <w:p>
      <w:pPr>
        <w:pStyle w:val="text"/>
        <w:numPr>
          <w:ilvl w:val="0"/>
          <w:numId w:val="18"/>
        </w:numPr>
      </w:pPr>
      <w:r>
        <w:t xml:space="preserve">围护结构的墙体、屋面和门窗等部分的设计合理，能够满足建筑的使用功能和节能要求。在施工过程中，应严格按照设计要求和相关规范进行施工，确保结构的质量和安全。</w:t>
      </w:r>
    </w:p>
    <w:p>
      <w:pPr>
        <w:pStyle w:val="text"/>
        <w:numPr>
          <w:ilvl w:val="0"/>
          <w:numId w:val="18"/>
        </w:numPr>
      </w:pPr>
      <w:r>
        <w:t xml:space="preserve">建议在项目实施过程中，对结构进行必要的监测和检测，及时发现和处理可能出现的问题。同时，随着建筑使用功能的变化或技术的发展，可对结构进行相应的评估和加固，以保证建筑的长期安全使用。</w:t>
      </w:r>
    </w:p>
    <w:p>
      <w:pPr>
        <w:pStyle w:val="text"/>
      </w:pPr>
      <w:r>
        <w:t xml:space="preserve">计算人：陈工</w:t>
      </w:r>
    </w:p>
    <w:p>
      <w:pPr>
        <w:pStyle w:val="text"/>
      </w:pPr>
      <w:r>
        <w:t xml:space="preserve">审核人：王工</w:t>
      </w:r>
    </w:p>
    <w:p>
      <w:pPr>
        <w:pStyle w:val="text"/>
      </w:pPr>
      <w:r>
        <w:t xml:space="preserve">日期：2025 年1月 15 日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2025-03-14T14:12:37.299Z</dcterms:created>
  <dcterms:modified xsi:type="dcterms:W3CDTF">2025-03-14T14:12:37.299Z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