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《纺织未来 —— 昆明三机厂绿色低碳改造服务项目材料决算清单》</w:t>
      </w:r>
    </w:p>
    <w:p>
      <w:pPr>
        <w:pStyle w:val="Heading2"/>
      </w:pPr>
      <w:r>
        <w:t xml:space="preserve">一、项目基本信息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项目名称</w:t>
      </w:r>
      <w:r>
        <w:t xml:space="preserve">：纺织未来 —— 昆明三机厂绿色低碳改造服务项目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项目地点</w:t>
      </w:r>
      <w:r>
        <w:t xml:space="preserve">：云南省昆明市官渡区东风东路 145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项目内容</w:t>
      </w:r>
      <w:r>
        <w:t xml:space="preserve">：对老旧厂房进行绿色低碳改造，融入太阳能利用、通风、遮阳、采光等绿色建筑设计，增加停车场、屋顶花园、连廊等功能区域，提升建筑舒适度并带动周边发展。建筑结构需满足承载力和使用功能要求，围护结构满足安全、耐久和防护要求，采用基于性能的抗震设计，合理选用建筑结构材料与构件。</w:t>
      </w:r>
    </w:p>
    <w:p>
      <w:pPr>
        <w:pStyle w:val="Heading2"/>
      </w:pPr>
      <w:r>
        <w:t xml:space="preserve">二、材料决算依据</w:t>
      </w:r>
    </w:p>
    <w:p>
      <w:pPr>
        <w:pStyle w:val="text"/>
        <w:numPr>
          <w:ilvl w:val="0"/>
          <w:numId w:val="3"/>
        </w:numPr>
      </w:pPr>
      <w:r>
        <w:t xml:space="preserve">项目建筑设计图纸，明确各部位结构及材料使用要求。</w:t>
      </w:r>
    </w:p>
    <w:p>
      <w:pPr>
        <w:pStyle w:val="text"/>
        <w:numPr>
          <w:ilvl w:val="0"/>
          <w:numId w:val="3"/>
        </w:numPr>
      </w:pPr>
      <w:r>
        <w:t xml:space="preserve">施工过程中的材料采购合同、发票及送货单，确定材料采购价格及实际用量。</w:t>
      </w:r>
    </w:p>
    <w:p>
      <w:pPr>
        <w:pStyle w:val="text"/>
        <w:numPr>
          <w:ilvl w:val="0"/>
          <w:numId w:val="3"/>
        </w:numPr>
      </w:pPr>
      <w:r>
        <w:t xml:space="preserve">混凝土浇筑记录、钢筋下料单等施工过程记录文件，精准统计材料实际消耗情况。</w:t>
      </w:r>
    </w:p>
    <w:p>
      <w:pPr>
        <w:pStyle w:val="text"/>
        <w:numPr>
          <w:ilvl w:val="0"/>
          <w:numId w:val="3"/>
        </w:numPr>
      </w:pPr>
      <w:r>
        <w:t xml:space="preserve">项目对混凝土结构材料的特殊要求，即 400MPa 级及以上强度等级钢筋应用比例达到 85%，混凝土竖向承重结构采用强度等级不小于 C50 混凝土用量占竖向承重结构中混凝土总量的比例达到 50%。</w:t>
      </w:r>
    </w:p>
    <w:p>
      <w:pPr>
        <w:pStyle w:val="Heading2"/>
      </w:pPr>
      <w:r>
        <w:t xml:space="preserve">三、材料决算明细</w:t>
      </w:r>
    </w:p>
    <w:p>
      <w:pPr>
        <w:pStyle w:val="Heading3"/>
      </w:pPr>
      <w:r>
        <w:t xml:space="preserve">（一）钢筋材料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钢筋类型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实际用量（t）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单价（元 /t）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 400MPa 级及以上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占总钢筋用量比例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HRB400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Φ12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Φ12 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Φ12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Φ12 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Φ12 占比数值]%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HRB400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Φ14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Φ14 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Φ14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Φ14 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Φ14 占比数值]%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HRB400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Φ16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Φ16 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Φ16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Φ16 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Φ16 占比数值]%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HRB500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Φ18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[HRB500 Φ18 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[HRB500 Φ18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[HRB500 Φ18 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[HRB500 Φ18 占比数值]%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Ⅰ 级钢筋（示例，非高强）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Φ8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[Ⅰ 级 Φ8 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[Ⅰ 级 Φ8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[Ⅰ 级 Φ8 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否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[Ⅰ 级 Φ8 占比数值]%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钢筋总计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[钢筋总用量数值]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[钢筋总费用数值]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[高强钢筋总占比数值]%</w:t>
            </w:r>
          </w:p>
        </w:tc>
      </w:tr>
    </w:tbl>
    <w:p>
      <w:pPr>
        <w:pStyle w:val="text"/>
      </w:pPr>
      <w:r>
        <w:t xml:space="preserve">经统计，400MPa 级及以上强度等级钢筋实际总用量为 [高强钢筋总用量数值] t，占钢筋总用量的比例为 [高强钢筋总占比数值]%，满足项目要求的 85% 标准。</w:t>
      </w:r>
    </w:p>
    <w:p>
      <w:pPr>
        <w:pStyle w:val="Heading3"/>
      </w:pPr>
      <w:r>
        <w:t xml:space="preserve">（二）混凝土材料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混凝土强度等级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使用部位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实际用量（m³）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单价（元 /m³）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是否用于竖向承重结构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是否 C50 及以上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竖向承重结构中占比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C50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框架柱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m³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[C50 框架柱用量数值]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[C50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[C50 框架柱总价数值]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[C50 框架柱竖向占比数值]%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C55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部分框架柱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m³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[C55 框架柱用量数值]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[C55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[C55 框架柱总价数值]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[C55 框架柱竖向占比数值]%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C30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梁、板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m³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[C30 梁板用量数值]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[C30 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[C30 梁板总价数值]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否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否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竖向承重结构混凝土总计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m³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[竖向承重结构混凝土总用量数值]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[竖向承重结构混凝土总费用数值]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是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[C50 及以上竖向承重结构占比数值]%</w:t>
            </w:r>
          </w:p>
        </w:tc>
      </w:tr>
    </w:tbl>
    <w:p>
      <w:pPr>
        <w:pStyle w:val="text"/>
      </w:pPr>
      <w:r>
        <w:t xml:space="preserve">经统计，混凝土竖向承重结构中，采用强度等级不小于 C50 混凝土的实际用量为 [C50 及以上竖向承重结构用量数值] m³，占竖向承重结构中混凝土总量的比例为 [C50 及以上竖向承重结构占比数值]%，满足项目要求的 50% 标准。</w:t>
      </w:r>
    </w:p>
    <w:p>
      <w:pPr>
        <w:pStyle w:val="Heading3"/>
      </w:pPr>
      <w:r>
        <w:t xml:space="preserve">（三）其他辅助材料（示例，可根据实际情况补充完整）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材料名称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实际用量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单价（元）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总价（元）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水泥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P.O 42.5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[水泥用量数值]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[水泥单价数值]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[水泥总价数值]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中砂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m³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[砂用量数值]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[砂单价数值]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[砂总价数值]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石子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5 - 25mm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m³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[石子用量数值]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[石子单价数值]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[石子总价数值]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...</w:t>
            </w:r>
          </w:p>
        </w:tc>
      </w:tr>
    </w:tbl>
    <w:p>
      <w:pPr>
        <w:pStyle w:val="Heading2"/>
      </w:pPr>
      <w:r>
        <w:t xml:space="preserve">四、材料决算总结</w:t>
      </w:r>
    </w:p>
    <w:p>
      <w:pPr>
        <w:pStyle w:val="text"/>
        <w:numPr>
          <w:ilvl w:val="0"/>
          <w:numId w:val="4"/>
        </w:numPr>
      </w:pPr>
      <w:r>
        <w:t xml:space="preserve">本项目在钢筋材料使用上，严格按照项目要求，400MPa 级及以上强度等级钢筋应用比例达到 [高强钢筋总占比数值]%，确保了结构的强度和稳定性。</w:t>
      </w:r>
    </w:p>
    <w:p>
      <w:pPr>
        <w:pStyle w:val="text"/>
        <w:numPr>
          <w:ilvl w:val="0"/>
          <w:numId w:val="4"/>
        </w:numPr>
      </w:pPr>
      <w:r>
        <w:t xml:space="preserve">混凝土材料方面，混凝土竖向承重结构采用强度等级不小于 C50 混凝土用量占竖向承重结构中混凝土总量的比例为 [C50 及以上竖向承重结构占比数值]%，满足项目规定的 50% 要求，保障了竖向承重结构的承载能力。</w:t>
      </w:r>
    </w:p>
    <w:p>
      <w:pPr>
        <w:pStyle w:val="text"/>
        <w:numPr>
          <w:ilvl w:val="0"/>
          <w:numId w:val="4"/>
        </w:numPr>
      </w:pPr>
      <w:r>
        <w:t xml:space="preserve">通过对各类材料的精准统计和核算，本决算清单真实反映了项目在材料采购和使用上的实际情况，为项目的最终决算提供了准确依据。在后续项目结算及审计过程中，可根据此清单进行核对和审查。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2025-03-14T16:39:05.525Z</dcterms:created>
  <dcterms:modified xsi:type="dcterms:W3CDTF">2025-03-14T16:39:05.525Z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