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纺织未来 —— 关于昆明三机厂绿色低碳改造服务项目结构计算书</w:t>
      </w:r>
    </w:p>
    <w:p>
      <w:pPr>
        <w:pStyle w:val="Heading2"/>
      </w:pPr>
      <w:r>
        <w:t xml:space="preserve">一、工程概况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项目名称</w:t>
      </w:r>
      <w:r>
        <w:t xml:space="preserve">：纺织未来 —— 关于昆明三机厂绿色低碳改造服务项目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项目地点</w:t>
      </w:r>
      <w:r>
        <w:t xml:space="preserve">：云南省昆明市官渡区东风东路 145 号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建筑面积</w:t>
      </w:r>
      <w:r>
        <w:t xml:space="preserve">：14518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用地面积</w:t>
      </w:r>
      <w:r>
        <w:t xml:space="preserve">：7218.2 平方米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建筑功能</w:t>
      </w:r>
      <w:r>
        <w:t xml:space="preserve">：改造后作为教育园区，涵盖教学楼、休闲活动区等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结构类型</w:t>
      </w:r>
      <w:r>
        <w:t xml:space="preserve">：混凝土结构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抗震设防烈度</w:t>
      </w:r>
      <w:r>
        <w:t xml:space="preserve">：根据当地抗震设防要求，确定为 8 度</w:t>
      </w:r>
    </w:p>
    <w:p>
      <w:pPr>
        <w:pStyle w:val="text"/>
        <w:numPr>
          <w:ilvl w:val="0"/>
          <w:numId w:val="2"/>
        </w:numPr>
      </w:pPr>
      <w:r>
        <w:rPr>
          <w:b/>
          <w:bCs/>
        </w:rPr>
        <w:t xml:space="preserve">设计使用年限</w:t>
      </w:r>
      <w:r>
        <w:t xml:space="preserve">：50 年</w:t>
      </w:r>
    </w:p>
    <w:p>
      <w:pPr>
        <w:pStyle w:val="Heading2"/>
      </w:pPr>
      <w:r>
        <w:t xml:space="preserve">二、设计依据</w:t>
      </w:r>
    </w:p>
    <w:p>
      <w:pPr>
        <w:pStyle w:val="text"/>
        <w:numPr>
          <w:ilvl w:val="0"/>
          <w:numId w:val="3"/>
        </w:numPr>
      </w:pPr>
      <w:r>
        <w:rPr>
          <w:b/>
          <w:bCs/>
        </w:rPr>
        <w:t xml:space="preserve">主要规范及标准</w:t>
      </w:r>
    </w:p>
    <w:p>
      <w:pPr>
        <w:pStyle w:val="text"/>
        <w:numPr>
          <w:ilvl w:val="1"/>
          <w:numId w:val="4"/>
        </w:numPr>
      </w:pPr>
      <w:r>
        <w:t xml:space="preserve">《建筑结构荷载规范》（GB 50009 - 2012）</w:t>
      </w:r>
    </w:p>
    <w:p>
      <w:pPr>
        <w:pStyle w:val="text"/>
        <w:numPr>
          <w:ilvl w:val="1"/>
          <w:numId w:val="4"/>
        </w:numPr>
      </w:pPr>
      <w:r>
        <w:t xml:space="preserve">《混凝土结构设计规范》（GB 50010 - 2010）（2015 年版）</w:t>
      </w:r>
    </w:p>
    <w:p>
      <w:pPr>
        <w:pStyle w:val="text"/>
        <w:numPr>
          <w:ilvl w:val="1"/>
          <w:numId w:val="4"/>
        </w:numPr>
      </w:pPr>
      <w:r>
        <w:t xml:space="preserve">《建筑抗震设计规范》（GB 50011 - 2010）（2016 年版）</w:t>
      </w:r>
    </w:p>
    <w:p>
      <w:pPr>
        <w:pStyle w:val="text"/>
        <w:numPr>
          <w:ilvl w:val="1"/>
          <w:numId w:val="4"/>
        </w:numPr>
      </w:pPr>
      <w:r>
        <w:t xml:space="preserve">《建筑地基基础设计规范》（GB 50007 - 2011）</w:t>
      </w:r>
    </w:p>
    <w:p>
      <w:pPr>
        <w:pStyle w:val="text"/>
        <w:numPr>
          <w:ilvl w:val="1"/>
          <w:numId w:val="4"/>
        </w:numPr>
      </w:pPr>
      <w:r>
        <w:t xml:space="preserve">《建筑工程抗震设防分类标准》（GB 50223 - 2008）</w:t>
      </w:r>
    </w:p>
    <w:p>
      <w:pPr>
        <w:pStyle w:val="text"/>
        <w:numPr>
          <w:ilvl w:val="1"/>
          <w:numId w:val="4"/>
        </w:numPr>
      </w:pPr>
      <w:r>
        <w:t xml:space="preserve">其他相关的国家、行业及地方标准和规范</w:t>
      </w:r>
    </w:p>
    <w:p>
      <w:pPr>
        <w:pStyle w:val="text"/>
        <w:numPr>
          <w:ilvl w:val="0"/>
          <w:numId w:val="5"/>
        </w:numPr>
      </w:pPr>
      <w:r>
        <w:rPr>
          <w:b/>
          <w:bCs/>
        </w:rPr>
        <w:t xml:space="preserve">设计资料</w:t>
      </w:r>
    </w:p>
    <w:p>
      <w:pPr>
        <w:pStyle w:val="text"/>
        <w:numPr>
          <w:ilvl w:val="1"/>
          <w:numId w:val="4"/>
        </w:numPr>
      </w:pPr>
      <w:r>
        <w:t xml:space="preserve">项目建筑设计图纸，包括平面图、剖面图、立面图等</w:t>
      </w:r>
    </w:p>
    <w:p>
      <w:pPr>
        <w:pStyle w:val="text"/>
        <w:numPr>
          <w:ilvl w:val="1"/>
          <w:numId w:val="4"/>
        </w:numPr>
      </w:pPr>
      <w:r>
        <w:t xml:space="preserve">地质勘察报告，提供场地的地质条件、土层分布、地基承载力特征值等信息</w:t>
      </w:r>
    </w:p>
    <w:p>
      <w:pPr>
        <w:pStyle w:val="text"/>
        <w:numPr>
          <w:ilvl w:val="1"/>
          <w:numId w:val="4"/>
        </w:numPr>
      </w:pPr>
      <w:r>
        <w:t xml:space="preserve">建设单位提供的设计要求和相关文件</w:t>
      </w:r>
    </w:p>
    <w:p>
      <w:pPr>
        <w:pStyle w:val="Heading2"/>
      </w:pPr>
      <w:r>
        <w:t xml:space="preserve">三、荷载取值</w:t>
      </w:r>
    </w:p>
    <w:p>
      <w:pPr>
        <w:pStyle w:val="text"/>
        <w:numPr>
          <w:ilvl w:val="0"/>
          <w:numId w:val="6"/>
        </w:numPr>
      </w:pPr>
      <w:r>
        <w:rPr>
          <w:b/>
          <w:bCs/>
        </w:rPr>
        <w:t xml:space="preserve">恒荷载</w:t>
      </w:r>
    </w:p>
    <w:p>
      <w:pPr>
        <w:pStyle w:val="text"/>
        <w:numPr>
          <w:ilvl w:val="1"/>
          <w:numId w:val="4"/>
        </w:numPr>
      </w:pPr>
      <w:r>
        <w:t xml:space="preserve">结构构件自重：根据构件尺寸和材料容重计算，混凝土容重取 25kN/m³，钢材容重取 78.5kN/m³。例如，框架柱尺寸为 600mm×600mm，每米柱自重为 25×0.6×0.6×1 = 9kN/m；框架梁截面尺寸 300mm×600mm，每米梁自重为 25×0.3×0.6×1 = 4.5kN/m。</w:t>
      </w:r>
    </w:p>
    <w:p>
      <w:pPr>
        <w:pStyle w:val="text"/>
        <w:numPr>
          <w:ilvl w:val="1"/>
          <w:numId w:val="4"/>
        </w:numPr>
      </w:pPr>
      <w:r>
        <w:t xml:space="preserve">建筑装修及设备荷载：参考《建筑结构荷载规范》及建筑设计方案确定。教学楼教室楼地面装修荷载取 1.5kN/m²，屋面防水保温层等荷载取 2.0kN/m²。</w:t>
      </w:r>
    </w:p>
    <w:p>
      <w:pPr>
        <w:pStyle w:val="text"/>
        <w:numPr>
          <w:ilvl w:val="0"/>
          <w:numId w:val="7"/>
        </w:numPr>
      </w:pPr>
      <w:r>
        <w:rPr>
          <w:b/>
          <w:bCs/>
        </w:rPr>
        <w:t xml:space="preserve">活荷载</w:t>
      </w:r>
    </w:p>
    <w:p>
      <w:pPr>
        <w:pStyle w:val="text"/>
        <w:numPr>
          <w:ilvl w:val="1"/>
          <w:numId w:val="4"/>
        </w:numPr>
      </w:pPr>
      <w:r>
        <w:t xml:space="preserve">教学楼教室：2.0kN/m²</w:t>
      </w:r>
    </w:p>
    <w:p>
      <w:pPr>
        <w:pStyle w:val="text"/>
        <w:numPr>
          <w:ilvl w:val="1"/>
          <w:numId w:val="4"/>
        </w:numPr>
      </w:pPr>
      <w:r>
        <w:t xml:space="preserve">走廊、楼梯：2.5kN/m²</w:t>
      </w:r>
    </w:p>
    <w:p>
      <w:pPr>
        <w:pStyle w:val="text"/>
        <w:numPr>
          <w:ilvl w:val="1"/>
          <w:numId w:val="4"/>
        </w:numPr>
      </w:pPr>
      <w:r>
        <w:t xml:space="preserve">屋顶花园：3.0kN/m²（考虑植物、土壤及人员活动等荷载）</w:t>
      </w:r>
    </w:p>
    <w:p>
      <w:pPr>
        <w:pStyle w:val="text"/>
        <w:numPr>
          <w:ilvl w:val="1"/>
          <w:numId w:val="4"/>
        </w:numPr>
      </w:pPr>
      <w:r>
        <w:t xml:space="preserve">停车场：4.0kN/m²</w:t>
      </w:r>
    </w:p>
    <w:p>
      <w:pPr>
        <w:pStyle w:val="text"/>
        <w:numPr>
          <w:ilvl w:val="1"/>
          <w:numId w:val="4"/>
        </w:numPr>
      </w:pPr>
      <w:r>
        <w:t xml:space="preserve">其他区域根据实际使用功能按规范取值</w:t>
      </w:r>
    </w:p>
    <w:p>
      <w:pPr>
        <w:pStyle w:val="text"/>
        <w:numPr>
          <w:ilvl w:val="0"/>
          <w:numId w:val="8"/>
        </w:numPr>
      </w:pPr>
      <w:r>
        <w:rPr>
          <w:b/>
          <w:bCs/>
        </w:rPr>
        <w:t xml:space="preserve">风荷载</w:t>
      </w:r>
    </w:p>
    <w:p>
      <w:pPr>
        <w:pStyle w:val="text"/>
        <w:numPr>
          <w:ilvl w:val="1"/>
          <w:numId w:val="4"/>
        </w:numPr>
      </w:pPr>
      <w:r>
        <w:t xml:space="preserve">根据当地基本风压值 0.35kN/m²（参考《建筑结构荷载规范》），结合建筑高度 20 米、体型系数 1.3、风振系数 1.15 等参数计算风荷载。风荷载标准值计算公式为 ωk = βzμsμzω0，经计算，本项目风荷载标准值 ωk = 1.15×1.3×1.12×0.35 = 0.59kN/m²（其中 μz 根据建筑高度及场地类别确定为 1.12）</w:t>
      </w:r>
    </w:p>
    <w:p>
      <w:pPr>
        <w:pStyle w:val="text"/>
        <w:numPr>
          <w:ilvl w:val="0"/>
          <w:numId w:val="9"/>
        </w:numPr>
      </w:pPr>
      <w:r>
        <w:rPr>
          <w:b/>
          <w:bCs/>
        </w:rPr>
        <w:t xml:space="preserve">地震作用</w:t>
      </w:r>
    </w:p>
    <w:p>
      <w:pPr>
        <w:pStyle w:val="text"/>
        <w:numPr>
          <w:ilvl w:val="1"/>
          <w:numId w:val="4"/>
        </w:numPr>
      </w:pPr>
      <w:r>
        <w:t xml:space="preserve">依据抗震设防烈度 8 度、场地类别 Ⅱ 类、设计地震分组为第一组等参数，按照《建筑抗震设计规范》规定计算地震作用。采用底部剪力法计算，结构总水平地震作用标准值计算公式为 FEk = α1Geq，其中 α1 为相应于结构基本自振周期的水平地震影响系数，经计算 α1 = 0.16，Geq 为结构等效总重力荷载代表值，Geq = 0.85×∑Gi（Gi 为各质点重力荷载代表值），计算可得 FEk = 15000kN（具体计算过程根据结构布置及荷载取值详细计算）</w:t>
      </w:r>
    </w:p>
    <w:p>
      <w:pPr>
        <w:pStyle w:val="Heading2"/>
      </w:pPr>
      <w:r>
        <w:t xml:space="preserve">四、结构计算模型建立</w:t>
      </w:r>
    </w:p>
    <w:p>
      <w:pPr>
        <w:pStyle w:val="text"/>
        <w:numPr>
          <w:ilvl w:val="0"/>
          <w:numId w:val="10"/>
        </w:numPr>
      </w:pPr>
      <w:r>
        <w:rPr>
          <w:b/>
          <w:bCs/>
        </w:rPr>
        <w:t xml:space="preserve">结构布置</w:t>
      </w:r>
    </w:p>
    <w:p>
      <w:pPr>
        <w:pStyle w:val="text"/>
        <w:numPr>
          <w:ilvl w:val="1"/>
          <w:numId w:val="4"/>
        </w:numPr>
      </w:pPr>
      <w:r>
        <w:t xml:space="preserve">建筑采用框架结构体系，柱网布置为 8m×8m。框架柱采用矩形截面，尺寸为 600mm×600mm，框架梁截面尺寸根据跨度和荷载情况确定，8m 跨度梁截面尺寸为 300mm×600mm。</w:t>
      </w:r>
    </w:p>
    <w:p>
      <w:pPr>
        <w:pStyle w:val="text"/>
        <w:numPr>
          <w:ilvl w:val="1"/>
          <w:numId w:val="4"/>
        </w:numPr>
      </w:pPr>
      <w:r>
        <w:t xml:space="preserve">结构传力路径为：楼面板承受的荷载传递到次梁，次梁传递到框架梁，框架梁将荷载传递到框架柱，最后由柱传递到基础。</w:t>
      </w:r>
    </w:p>
    <w:p>
      <w:pPr>
        <w:pStyle w:val="text"/>
        <w:numPr>
          <w:ilvl w:val="0"/>
          <w:numId w:val="11"/>
        </w:numPr>
      </w:pPr>
      <w:r>
        <w:rPr>
          <w:b/>
          <w:bCs/>
        </w:rPr>
        <w:t xml:space="preserve">计算模型</w:t>
      </w:r>
    </w:p>
    <w:p>
      <w:pPr>
        <w:pStyle w:val="text"/>
        <w:numPr>
          <w:ilvl w:val="1"/>
          <w:numId w:val="4"/>
        </w:numPr>
      </w:pPr>
      <w:r>
        <w:t xml:space="preserve">采用 PKPM 专业结构计算软件建立结构计算模型。模型准确反映建筑实际结构布置和边界条件，将结构划分为梁单元、柱单元等基本单元，并赋予相应的 C30 混凝土材料属性（抗压强度设计值 fc = 14.3N/mm²，抗拉强度设计值 ft = 1.43N/mm²）和截面尺寸。</w:t>
      </w:r>
    </w:p>
    <w:p>
      <w:pPr>
        <w:pStyle w:val="Heading2"/>
      </w:pPr>
      <w:r>
        <w:t xml:space="preserve">五、地震作用计算</w:t>
      </w:r>
    </w:p>
    <w:p>
      <w:pPr>
        <w:pStyle w:val="text"/>
        <w:numPr>
          <w:ilvl w:val="0"/>
          <w:numId w:val="12"/>
        </w:numPr>
      </w:pPr>
      <w:r>
        <w:rPr>
          <w:b/>
          <w:bCs/>
        </w:rPr>
        <w:t xml:space="preserve">结构自振周期计算</w:t>
      </w:r>
    </w:p>
    <w:p>
      <w:pPr>
        <w:pStyle w:val="text"/>
        <w:numPr>
          <w:ilvl w:val="1"/>
          <w:numId w:val="4"/>
        </w:numPr>
      </w:pPr>
      <w:r>
        <w:t xml:space="preserve">通过 PKPM 软件计算，得到结构基本自振周期 T1 = 1.2s（具体计算过程由软件自动完成，考虑结构的质量分布、刚度分布等因素）。</w:t>
      </w:r>
    </w:p>
    <w:p>
      <w:pPr>
        <w:pStyle w:val="text"/>
        <w:numPr>
          <w:ilvl w:val="0"/>
          <w:numId w:val="13"/>
        </w:numPr>
      </w:pPr>
      <w:r>
        <w:rPr>
          <w:b/>
          <w:bCs/>
        </w:rPr>
        <w:t xml:space="preserve">水平地震作用计算</w:t>
      </w:r>
    </w:p>
    <w:p>
      <w:pPr>
        <w:pStyle w:val="text"/>
        <w:numPr>
          <w:ilvl w:val="1"/>
          <w:numId w:val="4"/>
        </w:numPr>
      </w:pPr>
      <w:r>
        <w:t xml:space="preserve">根据底部剪力法，结构总水平地震作用标准值 FEk = α1Geq = 0.16×0.85×∑Gi。各楼层水平地震作用标准值 Fi = (GiHi/∑GjHj) FEk，通过计算得出各楼层的水平地震作用。</w:t>
      </w:r>
    </w:p>
    <w:p>
      <w:pPr>
        <w:pStyle w:val="text"/>
        <w:numPr>
          <w:ilvl w:val="1"/>
          <w:numId w:val="4"/>
        </w:numPr>
      </w:pPr>
      <w:r>
        <w:t xml:space="preserve">考虑地震作用的扭转效应，采用振型分解反应谱法进行补充计算，通过软件计算多个振型下的地震作用，并进行组合，得到考虑扭转的地震作用效应。</w:t>
      </w:r>
    </w:p>
    <w:p>
      <w:pPr>
        <w:pStyle w:val="text"/>
        <w:numPr>
          <w:ilvl w:val="0"/>
          <w:numId w:val="14"/>
        </w:numPr>
      </w:pPr>
      <w:r>
        <w:rPr>
          <w:b/>
          <w:bCs/>
        </w:rPr>
        <w:t xml:space="preserve">竖向地震作用计算</w:t>
      </w:r>
    </w:p>
    <w:p>
      <w:pPr>
        <w:pStyle w:val="text"/>
        <w:numPr>
          <w:ilvl w:val="1"/>
          <w:numId w:val="4"/>
        </w:numPr>
      </w:pPr>
      <w:r>
        <w:t xml:space="preserve">对于大跨度框架梁（如连廊部分框架梁跨度大于 18m），按照规范要求计算竖向地震作用。竖向地震作用标准值 FEvk = αvmaxGeq，αvmax = 0.65αmax，αmax 为水平地震影响系数最大值，本项目中 αmax = 0.16，经计算 αvmax = 0.104。对于大跨度梁，计算竖向地震作用产生的内力，并与水平地震作用及其他荷载产生的内力进行组合。</w:t>
      </w:r>
    </w:p>
    <w:p>
      <w:pPr>
        <w:pStyle w:val="Heading2"/>
      </w:pPr>
      <w:r>
        <w:t xml:space="preserve">六、构件设计与验算</w:t>
      </w:r>
    </w:p>
    <w:p>
      <w:pPr>
        <w:pStyle w:val="text"/>
        <w:numPr>
          <w:ilvl w:val="0"/>
          <w:numId w:val="15"/>
        </w:numPr>
      </w:pPr>
      <w:r>
        <w:rPr>
          <w:b/>
          <w:bCs/>
        </w:rPr>
        <w:t xml:space="preserve">框架梁设计</w:t>
      </w:r>
    </w:p>
    <w:p>
      <w:pPr>
        <w:pStyle w:val="text"/>
        <w:numPr>
          <w:ilvl w:val="1"/>
          <w:numId w:val="4"/>
        </w:numPr>
      </w:pPr>
      <w:r>
        <w:t xml:space="preserve">根据内力计算结果，按照《混凝土结构设计规范》要求进行框架梁截面设计。以 8m 跨度框架梁为例，混凝土强度等级为 C30，经计算配筋率为 0.8%，纵向受力钢筋选用 HRB400 级钢筋，直径为 20mm，箍筋采用 HPB300 级钢筋，直径为 8mm，间距 150mm。</w:t>
      </w:r>
    </w:p>
    <w:p>
      <w:pPr>
        <w:pStyle w:val="text"/>
        <w:numPr>
          <w:ilvl w:val="1"/>
          <w:numId w:val="4"/>
        </w:numPr>
      </w:pPr>
      <w:r>
        <w:t xml:space="preserve">正截面受弯承载力验算：根据公式 α1fcbx (h0 - x/2) = M，经计算满足设计要求。其中 α1 为混凝土受压区等效矩形应力图系数，取 1.0；fc 为混凝土抗压强度设计值；bx 为混凝土受压区高度；h0 为截面有效高度；M 为弯矩设计值。</w:t>
      </w:r>
    </w:p>
    <w:p>
      <w:pPr>
        <w:pStyle w:val="text"/>
        <w:numPr>
          <w:ilvl w:val="1"/>
          <w:numId w:val="4"/>
        </w:numPr>
      </w:pPr>
      <w:r>
        <w:t xml:space="preserve">斜截面受剪承载力验算：根据公式 V ≤ 0.7ftbh0 + fyvAsv/h0s，计算结果满足要求。其中 V 为剪力设计值；ft 为混凝土抗拉强度设计值；b 为梁截面宽度；h0 为截面有效高度；fyv 为箍筋抗拉强度设计值；Asv 为箍筋截面面积；s 为箍筋间距。</w:t>
      </w:r>
    </w:p>
    <w:p>
      <w:pPr>
        <w:pStyle w:val="text"/>
        <w:numPr>
          <w:ilvl w:val="1"/>
          <w:numId w:val="4"/>
        </w:numPr>
      </w:pPr>
      <w:r>
        <w:t xml:space="preserve">裂缝宽度验算：按照规范公式进行计算，控制裂缝宽度在 0.3mm 以内，经计算裂缝宽度为 0.25mm，符合规范要求。</w:t>
      </w:r>
    </w:p>
    <w:p>
      <w:pPr>
        <w:pStyle w:val="text"/>
        <w:numPr>
          <w:ilvl w:val="1"/>
          <w:numId w:val="4"/>
        </w:numPr>
      </w:pPr>
      <w:r>
        <w:t xml:space="preserve">挠度验算：按照规范公式计算，控制梁的挠度在 l/250（l 为梁跨度）以内，经计算挠度为 15mm，满足要求。</w:t>
      </w:r>
    </w:p>
    <w:p>
      <w:pPr>
        <w:pStyle w:val="text"/>
        <w:numPr>
          <w:ilvl w:val="0"/>
          <w:numId w:val="16"/>
        </w:numPr>
      </w:pPr>
      <w:r>
        <w:rPr>
          <w:b/>
          <w:bCs/>
        </w:rPr>
        <w:t xml:space="preserve">框架柱设计</w:t>
      </w:r>
    </w:p>
    <w:p>
      <w:pPr>
        <w:pStyle w:val="text"/>
        <w:numPr>
          <w:ilvl w:val="1"/>
          <w:numId w:val="4"/>
        </w:numPr>
      </w:pPr>
      <w:r>
        <w:t xml:space="preserve">框架柱混凝土强度等级为 C30，配筋率 1.2%。根据轴压比要求，控制轴压比不超过 0.9（8 度设防，框架结构）。</w:t>
      </w:r>
    </w:p>
    <w:p>
      <w:pPr>
        <w:pStyle w:val="text"/>
        <w:numPr>
          <w:ilvl w:val="1"/>
          <w:numId w:val="4"/>
        </w:numPr>
      </w:pPr>
      <w:r>
        <w:t xml:space="preserve">正截面受压承载力验算：根据偏心受压构件计算公式进行验算，满足设计要求。考虑多种内力组合情况，确保在各种工况下柱的承载力足够。</w:t>
      </w:r>
    </w:p>
    <w:p>
      <w:pPr>
        <w:pStyle w:val="text"/>
        <w:numPr>
          <w:ilvl w:val="1"/>
          <w:numId w:val="4"/>
        </w:numPr>
      </w:pPr>
      <w:r>
        <w:t xml:space="preserve">斜截面受剪承载力验算：按照规范公式进行计算，满足要求。</w:t>
      </w:r>
    </w:p>
    <w:p>
      <w:pPr>
        <w:pStyle w:val="text"/>
        <w:numPr>
          <w:ilvl w:val="1"/>
          <w:numId w:val="4"/>
        </w:numPr>
      </w:pPr>
      <w:r>
        <w:t xml:space="preserve">稳定性验算：根据《混凝土结构设计规范》对柱的稳定性要求，考虑柱的计算长度、长细比等因素，进行稳定性验算，结果满足要求。</w:t>
      </w:r>
    </w:p>
    <w:p>
      <w:pPr>
        <w:pStyle w:val="text"/>
        <w:numPr>
          <w:ilvl w:val="0"/>
          <w:numId w:val="17"/>
        </w:numPr>
      </w:pPr>
      <w:r>
        <w:rPr>
          <w:b/>
          <w:bCs/>
        </w:rPr>
        <w:t xml:space="preserve">基础设计</w:t>
      </w:r>
    </w:p>
    <w:p>
      <w:pPr>
        <w:pStyle w:val="text"/>
        <w:numPr>
          <w:ilvl w:val="1"/>
          <w:numId w:val="4"/>
        </w:numPr>
      </w:pPr>
      <w:r>
        <w:t xml:space="preserve">根据地质勘察报告和上部结构荷载情况，选择独立基础形式。以某框架柱基础为例，上部结构传至基础顶面的竖向力 Fk = 1200kN，弯矩 Mk = 150kN・m，基础底面尺寸经计算确定为 2.5m×2.5m，基础埋深为 2.0m。</w:t>
      </w:r>
    </w:p>
    <w:p>
      <w:pPr>
        <w:pStyle w:val="text"/>
        <w:numPr>
          <w:ilvl w:val="1"/>
          <w:numId w:val="4"/>
        </w:numPr>
      </w:pPr>
      <w:r>
        <w:t xml:space="preserve">地基承载力验算：根据公式 pk = Fk/A + Mk/W，计算基础底面压力，其中 pk 为基础底面压力，Fk 为上部结构传至基础顶面的竖向力，A 为基础底面积，Mk 为上部结构传至基础顶面的弯矩，W 为基础底面抵抗矩。经计算 pk = 1200/(2.5×2.5) + 150/(2.5×2.5²/6) = 201.6kPa，小于修正后的地基承载力特征值 230kPa，满足要求。</w:t>
      </w:r>
    </w:p>
    <w:p>
      <w:pPr>
        <w:pStyle w:val="text"/>
        <w:numPr>
          <w:ilvl w:val="1"/>
          <w:numId w:val="4"/>
        </w:numPr>
      </w:pPr>
      <w:r>
        <w:t xml:space="preserve">抗倾覆验算：根据相关公式进行计算，抗倾覆力矩与倾覆力矩之比大于 1.5，满足抗倾覆要求。</w:t>
      </w:r>
    </w:p>
    <w:p>
      <w:pPr>
        <w:pStyle w:val="text"/>
        <w:numPr>
          <w:ilvl w:val="1"/>
          <w:numId w:val="4"/>
        </w:numPr>
      </w:pPr>
      <w:r>
        <w:t xml:space="preserve">抗滑移验算：根据公式进行计算，抗滑移力与滑移力之比大于 1.3，满足抗滑移要求。</w:t>
      </w:r>
    </w:p>
    <w:p>
      <w:pPr>
        <w:pStyle w:val="Heading2"/>
      </w:pPr>
      <w:r>
        <w:t xml:space="preserve">七、结论</w:t>
      </w:r>
    </w:p>
    <w:p>
      <w:pPr>
        <w:pStyle w:val="text"/>
        <w:numPr>
          <w:ilvl w:val="0"/>
          <w:numId w:val="18"/>
        </w:numPr>
      </w:pPr>
      <w:r>
        <w:t xml:space="preserve">通过对本项目结构进行全面计算分析，在恒荷载、活荷载、风荷载和地震作用下，结构构件的承载力、变形、裂缝宽度等均满足《混凝土结构设计规范》《建筑抗震设计规范》等相关规范要求。</w:t>
      </w:r>
    </w:p>
    <w:p>
      <w:pPr>
        <w:pStyle w:val="text"/>
        <w:numPr>
          <w:ilvl w:val="0"/>
          <w:numId w:val="18"/>
        </w:numPr>
      </w:pPr>
      <w:r>
        <w:t xml:space="preserve">采用基于性能的抗震设计，合理提高了建筑的抗震性能，确保在 8 度抗震设防烈度下，建筑结构具有足够的安全性和可靠性。在后续施工过程中，应严格按照设计要求和相关规范进行施工，保证结构质量。</w:t>
      </w:r>
    </w:p>
    <w:p>
      <w:pPr>
        <w:pStyle w:val="text"/>
        <w:numPr>
          <w:ilvl w:val="0"/>
          <w:numId w:val="18"/>
        </w:numPr>
      </w:pPr>
      <w:r>
        <w:t xml:space="preserve">建议在项目建成后的使用过程中，定期对建筑结构进行监测和维护，及时发现和处理可能出现的问题，确保建筑结构长期稳定运行。</w:t>
      </w:r>
    </w:p>
    <w:p>
      <w:pPr>
        <w:pStyle w:val="text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lowerLetter"/>
      <w:lvlText w:val="%2.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lowerRoman"/>
      <w:lvlText w:val="%3.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decimal"/>
      <w:lvlText w:val="%4.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lowerLetter"/>
      <w:lvlText w:val="%5.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lowerRoman"/>
      <w:lvlText w:val="%6.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decimal"/>
      <w:lvlText w:val="%7.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lowerLetter"/>
      <w:lvlText w:val="%8.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lowerRoman"/>
      <w:lvlText w:val="%9.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decimal"/>
      <w:lvlText w:val="%10.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•"/>
      <w:lvlJc w:val="start"/>
      <w:pPr>
        <w:ind w:left="288" w:hanging="288"/>
      </w:pPr>
      <w:rPr>
        <w:color w:val="3370FF"/>
        <w:sz w:val="22"/>
        <w:szCs w:val="22"/>
      </w:rPr>
    </w:lvl>
    <w:lvl w:ilvl="1" w15:tentative="1">
      <w:start w:val="1"/>
      <w:numFmt w:val="bullet"/>
      <w:lvlText w:val="◦"/>
      <w:lvlJc w:val="start"/>
      <w:pPr>
        <w:ind w:left="720" w:hanging="288"/>
      </w:pPr>
      <w:rPr>
        <w:color w:val="3370FF"/>
        <w:sz w:val="22"/>
        <w:szCs w:val="22"/>
      </w:rPr>
    </w:lvl>
    <w:lvl w:ilvl="2" w15:tentative="1">
      <w:start w:val="1"/>
      <w:numFmt w:val="bullet"/>
      <w:lvlText w:val="▪"/>
      <w:lvlJc w:val="start"/>
      <w:pPr>
        <w:ind w:left="1152" w:hanging="288"/>
      </w:pPr>
      <w:rPr>
        <w:color w:val="3370FF"/>
        <w:sz w:val="22"/>
        <w:szCs w:val="22"/>
      </w:rPr>
    </w:lvl>
    <w:lvl w:ilvl="3" w15:tentative="1">
      <w:start w:val="1"/>
      <w:numFmt w:val="bullet"/>
      <w:lvlText w:val="•"/>
      <w:lvlJc w:val="start"/>
      <w:pPr>
        <w:ind w:left="1583" w:hanging="288"/>
      </w:pPr>
      <w:rPr>
        <w:color w:val="3370FF"/>
        <w:sz w:val="22"/>
        <w:szCs w:val="22"/>
      </w:rPr>
    </w:lvl>
    <w:lvl w:ilvl="4" w15:tentative="1">
      <w:start w:val="1"/>
      <w:numFmt w:val="bullet"/>
      <w:lvlText w:val="◦"/>
      <w:lvlJc w:val="start"/>
      <w:pPr>
        <w:ind w:left="2015" w:hanging="288"/>
      </w:pPr>
      <w:rPr>
        <w:color w:val="3370FF"/>
        <w:sz w:val="22"/>
        <w:szCs w:val="22"/>
      </w:rPr>
    </w:lvl>
    <w:lvl w:ilvl="5" w15:tentative="1">
      <w:start w:val="1"/>
      <w:numFmt w:val="bullet"/>
      <w:lvlText w:val="▪"/>
      <w:lvlJc w:val="start"/>
      <w:pPr>
        <w:ind w:left="2448" w:hanging="288"/>
      </w:pPr>
      <w:rPr>
        <w:color w:val="3370FF"/>
        <w:sz w:val="22"/>
        <w:szCs w:val="22"/>
      </w:rPr>
    </w:lvl>
    <w:lvl w:ilvl="6" w15:tentative="1">
      <w:start w:val="1"/>
      <w:numFmt w:val="bullet"/>
      <w:lvlText w:val="•"/>
      <w:lvlJc w:val="start"/>
      <w:pPr>
        <w:ind w:left="2879" w:hanging="288"/>
      </w:pPr>
      <w:rPr>
        <w:color w:val="3370FF"/>
        <w:sz w:val="22"/>
        <w:szCs w:val="22"/>
      </w:rPr>
    </w:lvl>
    <w:lvl w:ilvl="7" w15:tentative="1">
      <w:start w:val="1"/>
      <w:numFmt w:val="bullet"/>
      <w:lvlText w:val="◦"/>
      <w:lvlJc w:val="start"/>
      <w:pPr>
        <w:ind w:left="3312" w:hanging="288"/>
      </w:pPr>
      <w:rPr>
        <w:color w:val="3370FF"/>
        <w:sz w:val="22"/>
        <w:szCs w:val="22"/>
      </w:rPr>
    </w:lvl>
    <w:lvl w:ilvl="8" w15:tentative="1">
      <w:start w:val="1"/>
      <w:numFmt w:val="bullet"/>
      <w:lvlText w:val="▪"/>
      <w:lvlJc w:val="start"/>
      <w:pPr>
        <w:ind w:left="3744" w:hanging="288"/>
      </w:pPr>
      <w:rPr>
        <w:color w:val="3370FF"/>
        <w:sz w:val="22"/>
        <w:szCs w:val="22"/>
      </w:rPr>
    </w:lvl>
    <w:lvl w:ilvl="9" w15:tentative="1">
      <w:start w:val="1"/>
      <w:numFmt w:val="bullet"/>
      <w:lvlText w:val="•"/>
      <w:lvlJc w:val="start"/>
      <w:pPr>
        <w:ind w:left="4176" w:hanging="288"/>
      </w:pPr>
      <w:rPr>
        <w:color w:val="3370FF"/>
        <w:sz w:val="22"/>
        <w:szCs w:val="22"/>
      </w:rPr>
    </w:lvl>
  </w:abstractNum>
  <w:abstractNum w:abstractNumId="4" w15:restartNumberingAfterBreak="0">
    <w:multiLevelType w:val="hybridMultilevel"/>
    <w:lvl w:ilvl="0" w15:tentative="1">
      <w:start w:val="1"/>
      <w:numFmt w:val="custom"/>
      <w:lvlText w:val="☐"/>
      <w:lvlJc w:val="start"/>
      <w:pPr>
        <w:ind w:left="288" w:hanging="288"/>
      </w:pPr>
    </w:lvl>
    <w:lvl w:ilvl="1" w15:tentative="1">
      <w:start w:val="1"/>
      <w:numFmt w:val="custom"/>
      <w:lvlText w:val="☐"/>
      <w:lvlJc w:val="start"/>
      <w:pPr>
        <w:ind w:left="720" w:hanging="288"/>
      </w:pPr>
    </w:lvl>
    <w:lvl w:ilvl="2" w15:tentative="1">
      <w:start w:val="1"/>
      <w:numFmt w:val="custom"/>
      <w:lvlText w:val="☐"/>
      <w:lvlJc w:val="start"/>
      <w:pPr>
        <w:ind w:left="1152" w:hanging="288"/>
      </w:pPr>
    </w:lvl>
    <w:lvl w:ilvl="3" w15:tentative="1">
      <w:start w:val="1"/>
      <w:numFmt w:val="custom"/>
      <w:lvlText w:val="☐"/>
      <w:lvlJc w:val="start"/>
      <w:pPr>
        <w:ind w:left="1583" w:hanging="288"/>
      </w:pPr>
    </w:lvl>
    <w:lvl w:ilvl="4" w15:tentative="1">
      <w:start w:val="1"/>
      <w:numFmt w:val="custom"/>
      <w:lvlText w:val="☐"/>
      <w:lvlJc w:val="start"/>
      <w:pPr>
        <w:ind w:left="2015" w:hanging="288"/>
      </w:pPr>
    </w:lvl>
    <w:lvl w:ilvl="5" w15:tentative="1">
      <w:start w:val="1"/>
      <w:numFmt w:val="custom"/>
      <w:lvlText w:val="☐"/>
      <w:lvlJc w:val="start"/>
      <w:pPr>
        <w:ind w:left="2448" w:hanging="288"/>
      </w:pPr>
    </w:lvl>
    <w:lvl w:ilvl="6" w15:tentative="1">
      <w:start w:val="1"/>
      <w:numFmt w:val="custom"/>
      <w:lvlText w:val="☐"/>
      <w:lvlJc w:val="start"/>
      <w:pPr>
        <w:ind w:left="2879" w:hanging="288"/>
      </w:pPr>
    </w:lvl>
    <w:lvl w:ilvl="7" w15:tentative="1">
      <w:start w:val="1"/>
      <w:numFmt w:val="custom"/>
      <w:lvlText w:val="☐"/>
      <w:lvlJc w:val="start"/>
      <w:pPr>
        <w:ind w:left="3312" w:hanging="288"/>
      </w:pPr>
    </w:lvl>
    <w:lvl w:ilvl="8" w15:tentative="1">
      <w:start w:val="1"/>
      <w:numFmt w:val="custom"/>
      <w:lvlText w:val="☐"/>
      <w:lvlJc w:val="start"/>
      <w:pPr>
        <w:ind w:left="3744" w:hanging="288"/>
      </w:pPr>
    </w:lvl>
    <w:lvl w:ilvl="9" w15:tentative="1">
      <w:start w:val="1"/>
      <w:numFmt w:val="custom"/>
      <w:lvlText w:val="☐"/>
      <w:lvlJc w:val="start"/>
      <w:pPr>
        <w:ind w:left="4176" w:hanging="288"/>
      </w:pPr>
    </w:lvl>
  </w:abstractNum>
  <w:abstractNum w:abstractNumId="5" w15:restartNumberingAfterBreak="0">
    <w:multiLevelType w:val="hybridMultilevel"/>
    <w:lvl w:ilvl="0" w15:tentative="1">
      <w:start w:val="1"/>
      <w:numFmt w:val="custom"/>
      <w:lvlText w:val="☑"/>
      <w:lvlJc w:val="start"/>
      <w:pPr>
        <w:ind w:left="288" w:hanging="288"/>
      </w:pPr>
    </w:lvl>
    <w:lvl w:ilvl="1" w15:tentative="1">
      <w:start w:val="1"/>
      <w:numFmt w:val="custom"/>
      <w:lvlText w:val="☑"/>
      <w:lvlJc w:val="start"/>
      <w:pPr>
        <w:ind w:left="720" w:hanging="288"/>
      </w:pPr>
    </w:lvl>
    <w:lvl w:ilvl="2" w15:tentative="1">
      <w:start w:val="1"/>
      <w:numFmt w:val="custom"/>
      <w:lvlText w:val="☑"/>
      <w:lvlJc w:val="start"/>
      <w:pPr>
        <w:ind w:left="1152" w:hanging="288"/>
      </w:pPr>
    </w:lvl>
    <w:lvl w:ilvl="3" w15:tentative="1">
      <w:start w:val="1"/>
      <w:numFmt w:val="custom"/>
      <w:lvlText w:val="☑"/>
      <w:lvlJc w:val="start"/>
      <w:pPr>
        <w:ind w:left="1583" w:hanging="288"/>
      </w:pPr>
    </w:lvl>
    <w:lvl w:ilvl="4" w15:tentative="1">
      <w:start w:val="1"/>
      <w:numFmt w:val="custom"/>
      <w:lvlText w:val="☑"/>
      <w:lvlJc w:val="start"/>
      <w:pPr>
        <w:ind w:left="2015" w:hanging="288"/>
      </w:pPr>
    </w:lvl>
    <w:lvl w:ilvl="5" w15:tentative="1">
      <w:start w:val="1"/>
      <w:numFmt w:val="custom"/>
      <w:lvlText w:val="☑"/>
      <w:lvlJc w:val="start"/>
      <w:pPr>
        <w:ind w:left="2448" w:hanging="288"/>
      </w:pPr>
    </w:lvl>
    <w:lvl w:ilvl="6" w15:tentative="1">
      <w:start w:val="1"/>
      <w:numFmt w:val="custom"/>
      <w:lvlText w:val="☑"/>
      <w:lvlJc w:val="start"/>
      <w:pPr>
        <w:ind w:left="2879" w:hanging="288"/>
      </w:pPr>
    </w:lvl>
    <w:lvl w:ilvl="7" w15:tentative="1">
      <w:start w:val="1"/>
      <w:numFmt w:val="custom"/>
      <w:lvlText w:val="☑"/>
      <w:lvlJc w:val="start"/>
      <w:pPr>
        <w:ind w:left="3312" w:hanging="288"/>
      </w:pPr>
    </w:lvl>
    <w:lvl w:ilvl="8" w15:tentative="1">
      <w:start w:val="1"/>
      <w:numFmt w:val="custom"/>
      <w:lvlText w:val="☑"/>
      <w:lvlJc w:val="start"/>
      <w:pPr>
        <w:ind w:left="3744" w:hanging="288"/>
      </w:pPr>
    </w:lvl>
    <w:lvl w:ilvl="9" w15:tentative="1">
      <w:start w:val="1"/>
      <w:numFmt w:val="custom"/>
      <w:lvlText w:val="☑"/>
      <w:lvlJc w:val="start"/>
      <w:pPr>
        <w:ind w:left="4176" w:hanging="288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pPr>
      <w:spacing w:before="480" w:after="480" w:line="288" w:lineRule="auto"/>
      <w:ind w:left="0"/>
    </w:pPr>
    <w:rPr>
      <w:b/>
      <w:bCs/>
      <w:sz w:val="52"/>
      <w:szCs w:val="52"/>
      <w:rFonts w:ascii="Arial" w:hAnsi="Arial" w:eastAsia="等线" w:cs="Arial"/>
    </w:rPr>
  </w:style>
  <w:style w:type="paragraph" w:styleId="Heading1">
    <w:name w:val="Heading 1"/>
    <w:basedOn w:val="Normal"/>
    <w:next w:val="Normal"/>
    <w:qFormat/>
    <w:pPr>
      <w:spacing w:before="380" w:after="140" w:line="288" w:lineRule="auto"/>
      <w:ind w:left="0"/>
      <w:jc w:val="left"/>
      <w:outlineLvl w:val="0"/>
    </w:pPr>
    <w:rPr>
      <w:b/>
      <w:bCs/>
      <w:sz w:val="36"/>
      <w:szCs w:val="36"/>
      <w:rFonts w:ascii="Arial" w:hAnsi="Arial" w:eastAsia="等线" w:cs="Arial"/>
    </w:rPr>
  </w:style>
  <w:style w:type="paragraph" w:styleId="Heading2">
    <w:name w:val="Heading 2"/>
    <w:basedOn w:val="Normal"/>
    <w:next w:val="Normal"/>
    <w:qFormat/>
    <w:pPr>
      <w:spacing w:before="320" w:after="120" w:line="288" w:lineRule="auto"/>
      <w:ind w:left="0"/>
      <w:jc w:val="left"/>
      <w:outlineLvl w:val="1"/>
    </w:pPr>
    <w:rPr>
      <w:b/>
      <w:bCs/>
      <w:sz w:val="32"/>
      <w:szCs w:val="32"/>
      <w:rFonts w:ascii="Arial" w:hAnsi="Arial" w:eastAsia="等线" w:cs="Arial"/>
    </w:rPr>
  </w:style>
  <w:style w:type="paragraph" w:styleId="Heading3">
    <w:name w:val="Heading 3"/>
    <w:basedOn w:val="Normal"/>
    <w:next w:val="Normal"/>
    <w:qFormat/>
    <w:pPr>
      <w:spacing w:before="300" w:after="120" w:line="288" w:lineRule="auto"/>
      <w:ind w:left="0"/>
      <w:jc w:val="left"/>
      <w:outlineLvl w:val="2"/>
    </w:pPr>
    <w:rPr>
      <w:b/>
      <w:bCs/>
      <w:sz w:val="30"/>
      <w:szCs w:val="30"/>
      <w:rFonts w:ascii="Arial" w:hAnsi="Arial" w:eastAsia="等线" w:cs="Arial"/>
    </w:rPr>
  </w:style>
  <w:style w:type="paragraph" w:styleId="Heading4">
    <w:name w:val="Heading 4"/>
    <w:basedOn w:val="Normal"/>
    <w:next w:val="Normal"/>
    <w:qFormat/>
    <w:pPr>
      <w:spacing w:before="260" w:after="120" w:line="288" w:lineRule="auto"/>
      <w:ind w:left="0"/>
      <w:jc w:val="left"/>
      <w:outlineLvl w:val="3"/>
    </w:pPr>
    <w:rPr>
      <w:b/>
      <w:bCs/>
      <w:sz w:val="28"/>
      <w:szCs w:val="28"/>
      <w:rFonts w:ascii="Arial" w:hAnsi="Arial" w:eastAsia="等线" w:cs="Arial"/>
    </w:rPr>
  </w:style>
  <w:style w:type="paragraph" w:styleId="Heading5">
    <w:name w:val="Heading 5"/>
    <w:basedOn w:val="Normal"/>
    <w:next w:val="Normal"/>
    <w:qFormat/>
    <w:pPr>
      <w:spacing w:before="240" w:after="120" w:line="288" w:lineRule="auto"/>
      <w:ind w:left="0"/>
      <w:jc w:val="left"/>
      <w:outlineLvl w:val="4"/>
    </w:pPr>
    <w:rPr>
      <w:b/>
      <w:bCs/>
      <w:sz w:val="24"/>
      <w:szCs w:val="24"/>
      <w:rFonts w:ascii="Arial" w:hAnsi="Arial" w:eastAsia="等线" w:cs="Arial"/>
    </w:rPr>
  </w:style>
  <w:style w:type="paragraph" w:styleId="Heading6">
    <w:name w:val="Heading 6"/>
    <w:basedOn w:val="Normal"/>
    <w:next w:val="Normal"/>
    <w:qFormat/>
    <w:pPr>
      <w:spacing w:before="240" w:after="120" w:line="288" w:lineRule="auto"/>
      <w:ind w:left="0"/>
      <w:jc w:val="left"/>
      <w:outlineLvl w:val="5"/>
    </w:pPr>
    <w:rPr>
      <w:b/>
      <w:bCs/>
      <w:sz w:val="24"/>
      <w:szCs w:val="24"/>
      <w:rFonts w:ascii="Arial" w:hAnsi="Arial" w:eastAsia="等线" w:cs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ext">
    <w:pPr>
      <w:spacing w:before="120" w:after="120" w:line="288" w:lineRule="auto"/>
      <w:ind w:left="0"/>
      <w:jc w:val="left"/>
    </w:pPr>
    <w:rPr>
      <w:sz w:val="22"/>
      <w:szCs w:val="22"/>
      <w:rFonts w:ascii="Arial" w:hAnsi="Arial" w:eastAsia="等线" w:cs="Arial"/>
    </w:rPr>
  </w:style>
  <w:style w:type="paragraph" w:styleId="blockquote">
    <w:pPr>
      <w:spacing w:before="120" w:after="120" w:line="288" w:lineRule="auto"/>
      <w:ind w:left="0"/>
      <w:jc w:val="left"/>
    </w:pPr>
    <w:rPr>
      <w:color w:val="8F959E"/>
      <w:sz w:val="22"/>
      <w:szCs w:val="22"/>
      <w:rFonts w:ascii="Arial" w:hAnsi="Arial" w:eastAsia="等线" w:cs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2025-03-14T14:33:20.103Z</dcterms:created>
  <dcterms:modified xsi:type="dcterms:W3CDTF">2025-03-14T14:33:20.103Z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