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《纺织未来 —— 关于昆明三机厂绿色低碳改造服务项目预制构件应用比例计算书》</w:t>
      </w:r>
    </w:p>
    <w:p>
      <w:pPr>
        <w:pStyle w:val="Heading2"/>
      </w:pPr>
      <w:r>
        <w:t xml:space="preserve">1. 项目概况</w:t>
      </w:r>
    </w:p>
    <w:p>
      <w:pPr>
        <w:pStyle w:val="text"/>
      </w:pPr>
      <w:r>
        <w:t xml:space="preserve">本项目 “纺织未来 —— 关于昆明三机厂绿色低碳改造服务项目” 位于云南省昆明市官渡区东风东路 145 号。旨在对老旧厂房进行绿色低碳改造，将其打造为集教学、休闲活动等多功能为一体的公共建筑。主体结构采用装配式混凝土结构，通过一系列绿色建筑设计及改造措施，如改变停车场位置优化交通流线、屋面铺设太阳能板、设置中亭及屋顶花园等，提升建筑的使用功能及绿色环保性能。</w:t>
      </w:r>
    </w:p>
    <w:p>
      <w:pPr>
        <w:pStyle w:val="Heading2"/>
      </w:pPr>
      <w:r>
        <w:t xml:space="preserve">2. 评价方法</w:t>
      </w:r>
    </w:p>
    <w:p>
      <w:pPr>
        <w:pStyle w:val="text"/>
      </w:pPr>
      <w:r>
        <w:t xml:space="preserve">依据《绿色建筑评价标准》GB 50378 - 2019 条文 9.2.5“采用符合工业化建造要求的结构体系与建筑构件，评分总分值为 10 分。主体结构采用装配式混凝土结构，地上部分预制构件应用混凝土体积占混凝土总体积的比例达到 35%，得 5 分；达到 50%，得 10 分”。本项目以此标准为依据，计算地上部分预制构件应用混凝土体积占混凝土总体积的比例，以评估项目在工业化建造方面的成效。</w:t>
      </w:r>
    </w:p>
    <w:p>
      <w:pPr>
        <w:pStyle w:val="Heading2"/>
      </w:pPr>
      <w:r>
        <w:t xml:space="preserve">3. 计算过程</w:t>
      </w:r>
    </w:p>
    <w:p>
      <w:pPr>
        <w:pStyle w:val="text"/>
      </w:pPr>
      <w:r>
        <w:t xml:space="preserve">预制构件涵盖各类结构与非结构构件，包括预制梁、预制柱、预制墙板、预制阳台板、预制楼梯、雨棚、栏杆等。采用工厂化生产的预制构件，在保障安全的基础上，可有效减少材料浪费及施工对环境的影响，同时为建筑拆除后的构件替换与再利用创造有利条件。</w:t>
      </w:r>
    </w:p>
    <w:p>
      <w:pPr>
        <w:pStyle w:val="text"/>
      </w:pPr>
      <w:r>
        <w:t xml:space="preserve">预制构件用量比例指建筑室外地坪以上的主体结构和围护结构中，预制构件部分的混凝土用量占对应部分混凝土总用量的体积比。因混凝土密度统一，在计算比例时，可通过重量进行换算（混凝土密度按 2500kg/m³ 计）。</w:t>
      </w:r>
    </w:p>
    <w:p>
      <w:pPr>
        <w:pStyle w:val="Heading3"/>
      </w:pPr>
      <w:r>
        <w:t xml:space="preserve">表 3.1 预制构件用量比例计算表</w:t>
      </w:r>
    </w:p>
    <w:p>
      <w:pPr>
        <w:pStyle w:val="text"/>
      </w:pP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楼栋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项目名称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单位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重量（kg）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密度（kg/m³）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单位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重量（t）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1# 教学楼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预制叠合楼板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m³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12000000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2500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t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12000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预制空调板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m³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1500000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2500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t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1500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预制楼梯板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m³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3000000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2500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t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3000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预制梁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m³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8000000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2500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t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8000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预制柱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m³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5000000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2500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t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5000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预制内墙板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m³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4000000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2500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t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4000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预制保温外墙板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m³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5113700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2500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t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5113.7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合计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-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-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38613700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-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t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38613.7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混凝土总重量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-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-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86042260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-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t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86042.26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比例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-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-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-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-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%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50%</w:t>
            </w:r>
          </w:p>
        </w:tc>
      </w:tr>
    </w:tbl>
    <w:p>
      <w:pPr>
        <w:pStyle w:val="text"/>
      </w:pPr>
      <w:r>
        <w:t xml:space="preserve">计算说明：以 1# 教学楼为例，预制叠合楼板重量计算：已知其体积为 4800m³（假设数据，实际需按设计图纸精确计算），根据 m = ρV（m 为质量，ρ 为密度，V 为体积），则重量为 4800m³×2500kg/m³ = 12000000kg = 12000t。其他预制构件重量计算方式相同。混凝土总重量通过对项目地上部分所有混凝土构件（包括预制与现浇）的重量进行统计得出。</w:t>
      </w:r>
    </w:p>
    <w:p>
      <w:pPr>
        <w:pStyle w:val="Heading2"/>
      </w:pPr>
      <w:r>
        <w:t xml:space="preserve">4. 结论</w:t>
      </w:r>
    </w:p>
    <w:p>
      <w:pPr>
        <w:pStyle w:val="text"/>
      </w:pPr>
      <w:r>
        <w:t xml:space="preserve">经计算，本项目地上部分采用的预制构件混凝土用量为 38613.7t，该部分混凝土总用量为 86042.26t，地上部分预制构件应用混凝土体积占混凝土总体积的比例达到 50%。依据《绿色建筑评价标准》GB 50378 - 2019 条文 9.2.5，在采用符合工业化建造要求的结构体系与建筑构件方面，本项目可得 10 分，表明项目在工业化建造方面取得良好成效，符合装配式混凝土结构的设计目标，有效推动了绿色低碳改造进程。</w:t>
      </w:r>
    </w:p>
    <w:p>
      <w:pPr>
        <w:pStyle w:val="text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2025-03-14T17:18:17.909Z</dcterms:created>
  <dcterms:modified xsi:type="dcterms:W3CDTF">2025-03-14T17:18:17.909Z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