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纺织未来 —— 昆明三机厂绿色低碳改造服务项目高强钢筋、高强混凝土、高强钢材、螺栓连接点等材料用量比例计算书</w:t>
      </w:r>
    </w:p>
    <w:p>
      <w:pPr>
        <w:pStyle w:val="Heading2"/>
      </w:pPr>
      <w:r>
        <w:t xml:space="preserve">1. 项目概况</w:t>
      </w:r>
    </w:p>
    <w:p>
      <w:pPr>
        <w:pStyle w:val="text"/>
      </w:pPr>
      <w:r>
        <w:t xml:space="preserve">本项目 “纺织未来 —— 昆明三机厂绿色低碳改造服务项目” 位于云南省昆明市官渡区东风东路 145 号。旨在对老旧厂房进行绿色低碳改造，融入太阳能利用、通风、遮阳、采光等绿色建筑设计元素，增设停车场、屋顶花园、连廊等功能区域，以提升建筑的使用舒适度并带动周边发展。建筑结构需满足承载力和使用功能要求，围护结构满足安全、耐久和防护要求，采用基于性能的抗震设计提升抗震性能。在建筑结构材料选用上，混凝土结构遵循特定规则，对高强钢筋和高强混凝土的使用比例有明确要求。</w:t>
      </w:r>
    </w:p>
    <w:p>
      <w:pPr>
        <w:pStyle w:val="Heading2"/>
      </w:pPr>
      <w:r>
        <w:t xml:space="preserve">2. 评价方法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高强钢筋</w:t>
      </w:r>
      <w:r>
        <w:t xml:space="preserve">：依据《绿色建筑评价标准》GB/T 50378 - 2019 条文 7.2.15，对于混凝土结构，400MPa 级及以上受力普通钢筋的比例（Rsb），当 Rsb≥85% 时，可得 5 分。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高强混凝土</w:t>
      </w:r>
      <w:r>
        <w:t xml:space="preserve">：同样根据上述标准，混凝土竖向承重结构采用强度等级不小于 C50 混凝土用量占竖向承重结构中混凝土总量的比例，达到 50% 时，可得 5 分。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高强钢材</w:t>
      </w:r>
      <w:r>
        <w:t xml:space="preserve">：若项目存在钢结构部分，Q345 及以上高强钢材用量占钢材总量的比例，达到 50% 得 3 分，达到 70% 得 4 分。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螺栓连接点</w:t>
      </w:r>
      <w:r>
        <w:t xml:space="preserve">：虽然标准中未明确螺栓连接点相关评分细则，但作为建筑结构连接的重要部分，需对其用量进行统计分析，以评估结构连接的合理性和可靠性。</w:t>
      </w:r>
    </w:p>
    <w:p>
      <w:pPr>
        <w:pStyle w:val="Heading2"/>
      </w:pPr>
      <w:r>
        <w:t xml:space="preserve">3. 计算过程</w:t>
      </w:r>
    </w:p>
    <w:p>
      <w:pPr>
        <w:pStyle w:val="Heading3"/>
      </w:pPr>
      <w:r>
        <w:t xml:space="preserve">3.1 高强钢筋用量比例计算</w:t>
      </w:r>
    </w:p>
    <w:p>
      <w:pPr>
        <w:pStyle w:val="text"/>
      </w:pPr>
      <w:r>
        <w:t xml:space="preserve">本项目梁、柱及楼板等主要受力钢筋均采用 HRB400 级及以上的高强度热轧带肋钢筋。依据本项目建筑相关图纸及工程预算清单对项目建材进行统计计算，结果如下表：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钢筋类型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规格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单位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重量（t）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Ⅰ 级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-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t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[Ⅰ 级钢筋重量数值]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Ⅲ 级（HRB400）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-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t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[HRB400 钢筋重量数值]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HRB500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-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t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[HRB500 钢筋重量数值]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钢筋总量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-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t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[钢筋总重量数值]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高强度钢（400MPa 级及以上）重量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-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t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[400MPa 级及以上钢筋总重量数值]</w:t>
            </w:r>
          </w:p>
        </w:tc>
      </w:tr>
    </w:tbl>
    <w:p>
      <w:pPr>
        <w:pStyle w:val="text"/>
      </w:pPr>
      <w:r>
        <w:t xml:space="preserve">高强度钢重量占受力钢筋总重量的比例 =（400MPa 级及以上钢筋总重量数值 ÷ 钢筋总重量数值）× 100% = [具体百分比数值]%</w:t>
      </w:r>
    </w:p>
    <w:p>
      <w:pPr>
        <w:pStyle w:val="Heading3"/>
      </w:pPr>
      <w:r>
        <w:t xml:space="preserve">3.2 高强混凝土用量比例计算</w:t>
      </w:r>
    </w:p>
    <w:p>
      <w:pPr>
        <w:pStyle w:val="text"/>
      </w:pPr>
      <w:r>
        <w:t xml:space="preserve">通过对项目建筑图纸及混凝土浇筑记录等资料的统计，竖向承重结构（如框架柱等）混凝土浇筑总量为 [竖向承重结构混凝土总量数值] m³。其中，采用强度等级不小于 C50 混凝土的浇筑量为 [C50 及以上混凝土用量数值] m³。</w:t>
      </w:r>
    </w:p>
    <w:p>
      <w:pPr>
        <w:pStyle w:val="text"/>
      </w:pPr>
      <w:r>
        <w:t xml:space="preserve">混凝土竖向承重结构采用强度等级不小于 C50 混凝土用量占竖向承重结构中混凝土总量的比例 =（C50 及以上混凝土用量数值 ÷ 竖向承重结构混凝土总量数值）× 100% = [具体百分比数值]%</w:t>
      </w:r>
    </w:p>
    <w:p>
      <w:pPr>
        <w:pStyle w:val="Heading3"/>
      </w:pPr>
      <w:r>
        <w:t xml:space="preserve">3.3 高强钢材用量比例计算（假设项目存在钢结构部分）</w:t>
      </w:r>
    </w:p>
    <w:p>
      <w:pPr>
        <w:pStyle w:val="text"/>
      </w:pPr>
      <w:r>
        <w:t xml:space="preserve">若项目存在钢结构部分，对钢结构用钢量进行统计。假设钢材总量为 [钢结构钢材总重量数值] t，其中 Q345 及以上高强钢材用量为 [Q345 及以上高强钢材重量数值] t。</w:t>
      </w:r>
    </w:p>
    <w:p>
      <w:pPr>
        <w:pStyle w:val="text"/>
      </w:pPr>
      <w:r>
        <w:t xml:space="preserve">Q345 及以上高强钢材用量占钢材总量的比例 =（Q345 及以上高强钢材重量数值 ÷ 钢结构钢材总重量数值）× 100% = [具体百分比数值]%</w:t>
      </w:r>
    </w:p>
    <w:p>
      <w:pPr>
        <w:pStyle w:val="Heading3"/>
      </w:pPr>
      <w:r>
        <w:t xml:space="preserve">3.4 螺栓连接点用量统计（假设涉及钢结构连接等需要螺栓的情况）</w:t>
      </w:r>
    </w:p>
    <w:p>
      <w:pPr>
        <w:pStyle w:val="text"/>
      </w:pPr>
      <w:r>
        <w:t xml:space="preserve">对项目中使用螺栓连接的部位（如钢结构节点、设备固定等）进行统计。假设共使用 [螺栓总数量数值] 个螺栓，其中用于结构连接的高强度螺栓数量为 [高强度螺栓数量数值] 个。</w:t>
      </w:r>
    </w:p>
    <w:p>
      <w:pPr>
        <w:pStyle w:val="text"/>
      </w:pPr>
      <w:r>
        <w:t xml:space="preserve">高强度螺栓在结构连接螺栓中的占比 =（高强度螺栓数量数值 ÷ 螺栓总数量数值）× 100% = [具体百分比数值]%</w:t>
      </w:r>
    </w:p>
    <w:p>
      <w:pPr>
        <w:pStyle w:val="Heading2"/>
      </w:pPr>
      <w:r>
        <w:t xml:space="preserve">4. 结论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高强钢筋</w:t>
      </w:r>
      <w:r>
        <w:t xml:space="preserve">：通过上述分析，项目采用 400MPa 级及以上受力普通钢筋的比例为 [具体百分比数值]%，[判断是否满足≥85%，若满足则说明] 符合《绿色建筑评价标准》(GB/T 50378 - 2019) 第 7.2.15 条得 5 分的要求。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高强混凝土</w:t>
      </w:r>
      <w:r>
        <w:t xml:space="preserve">：混凝土竖向承重结构采用强度等级不小于 C50 混凝土用量占竖向承重结构中混凝土总量的比例为 [具体百分比数值]%，[判断是否满足≥50%，若满足则说明] 符合《绿色建筑评价标准》(GB/T 50378 - 2019) 第 7.2.15 条得 5 分的要求。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高强钢材</w:t>
      </w:r>
      <w:r>
        <w:t xml:space="preserve">：[若存在钢结构部分，根据计算结果说明高强钢材占比情况及是否满足标准对应得分要求；若不存在钢结构部分，说明项目无钢结构，故不涉及此部分评价]。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螺栓连接点</w:t>
      </w:r>
      <w:r>
        <w:t xml:space="preserve">：通过对螺栓连接点的统计，高强度螺栓在结构连接螺栓中的占比为 [具体百分比数值]%，[根据实际情况分析该比例对结构连接可靠性等方面的影响]。整体来看，本项目在高强钢筋、高强混凝土等关键建筑结构材料的使用上，满足绿色建筑评价标准中对材料选用的相关要求，有助于提升建筑结构的性能和耐久性。</w:t>
      </w:r>
    </w:p>
    <w:p>
      <w:pPr>
        <w:pStyle w:val="text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2025-03-14T16:34:25.996Z</dcterms:created>
  <dcterms:modified xsi:type="dcterms:W3CDTF">2025-03-14T16:34:25.996Z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