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住区热环境设计报告书</w:t>
      </w:r>
    </w:p>
    <w:p>
      <w:pPr>
        <w:jc w:val="center"/>
        <w:rPr>
          <w:rFonts w:ascii="黑体" w:hAnsi="黑体" w:eastAsia="黑体"/>
          <w:sz w:val="36"/>
          <w:szCs w:val="36"/>
          <w:lang w:val="en-US"/>
        </w:rPr>
      </w:pPr>
      <w:r>
        <w:rPr>
          <w:rFonts w:hint="eastAsia" w:ascii="黑体" w:hAnsi="黑体" w:eastAsia="黑体"/>
          <w:sz w:val="36"/>
          <w:szCs w:val="36"/>
          <w:lang w:val="en-US"/>
        </w:rPr>
        <w:t>（规定</w:t>
      </w:r>
      <w:r>
        <w:rPr>
          <w:rFonts w:ascii="黑体" w:hAnsi="黑体" w:eastAsia="黑体"/>
          <w:sz w:val="36"/>
          <w:szCs w:val="36"/>
          <w:lang w:val="en-US"/>
        </w:rPr>
        <w:t>性设计</w:t>
      </w:r>
      <w:r>
        <w:rPr>
          <w:rFonts w:hint="eastAsia" w:ascii="黑体" w:hAnsi="黑体" w:eastAsia="黑体"/>
          <w:sz w:val="36"/>
          <w:szCs w:val="36"/>
          <w:lang w:val="en-US"/>
        </w:rPr>
        <w:t>）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hint="eastAsia" w:ascii="宋体" w:hAnsi="宋体"/>
                <w:szCs w:val="21"/>
              </w:rPr>
              <w:t>鸭子桥小学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北京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r>
              <w:t>北京联合大学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ascii="宋体" w:hAnsi="宋体"/>
                <w:szCs w:val="21"/>
              </w:rPr>
              <w:t>2024年12月26日</w:t>
            </w:r>
            <w:bookmarkEnd w:id="5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住区热环境TERA2024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20240430(SP1)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T13718925802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10" w:name="目录"/>
      <w:bookmarkEnd w:id="10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_Toc7535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住区概况</w:t>
      </w:r>
      <w:r>
        <w:tab/>
      </w:r>
      <w:r>
        <w:fldChar w:fldCharType="begin"/>
      </w:r>
      <w:r>
        <w:instrText xml:space="preserve"> PAGEREF _Toc7535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_Toc30383 </w:instrText>
      </w:r>
      <w: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_Toc30383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_Toc30475 </w:instrText>
      </w:r>
      <w:r>
        <w:fldChar w:fldCharType="separate"/>
      </w:r>
      <w:r>
        <w:rPr>
          <w:rFonts w:hint="eastAsia"/>
        </w:rPr>
        <w:t>3 计算规定</w:t>
      </w:r>
      <w:r>
        <w:tab/>
      </w:r>
      <w:r>
        <w:fldChar w:fldCharType="begin"/>
      </w:r>
      <w:r>
        <w:instrText xml:space="preserve"> PAGEREF _Toc30475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_Toc6099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强制条文</w:t>
      </w:r>
      <w:r>
        <w:tab/>
      </w:r>
      <w:r>
        <w:fldChar w:fldCharType="begin"/>
      </w:r>
      <w:r>
        <w:instrText xml:space="preserve"> PAGEREF _Toc6099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_Toc15701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规定性设计</w:t>
      </w:r>
      <w:r>
        <w:tab/>
      </w:r>
      <w:r>
        <w:fldChar w:fldCharType="begin"/>
      </w:r>
      <w:r>
        <w:instrText xml:space="preserve"> PAGEREF _Toc15701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_Toc11504 </w:instrText>
      </w:r>
      <w:r>
        <w:fldChar w:fldCharType="separate"/>
      </w:r>
      <w:r>
        <w:rPr>
          <w:rFonts w:hint="eastAsia"/>
        </w:rPr>
        <w:t>4 计算参数</w:t>
      </w:r>
      <w:r>
        <w:tab/>
      </w:r>
      <w:r>
        <w:fldChar w:fldCharType="begin"/>
      </w:r>
      <w:r>
        <w:instrText xml:space="preserve"> PAGEREF _Toc11504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_Toc5803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典型气象日气象参数</w:t>
      </w:r>
      <w:r>
        <w:tab/>
      </w:r>
      <w:r>
        <w:fldChar w:fldCharType="begin"/>
      </w:r>
      <w:r>
        <w:instrText xml:space="preserve"> PAGEREF _Toc5803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_Toc25862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渗透面夏季逐时蒸发量</w:t>
      </w:r>
      <w:r>
        <w:tab/>
      </w:r>
      <w:r>
        <w:fldChar w:fldCharType="begin"/>
      </w:r>
      <w:r>
        <w:instrText xml:space="preserve"> PAGEREF _Toc25862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_Toc30653 </w:instrText>
      </w:r>
      <w:r>
        <w:fldChar w:fldCharType="separate"/>
      </w:r>
      <w:r>
        <w:rPr>
          <w:rFonts w:hint="eastAsia"/>
        </w:rPr>
        <w:t>5 住区指标概览</w:t>
      </w:r>
      <w:r>
        <w:tab/>
      </w:r>
      <w:r>
        <w:fldChar w:fldCharType="begin"/>
      </w:r>
      <w:r>
        <w:instrText xml:space="preserve"> PAGEREF _Toc30653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_Toc9457 </w:instrText>
      </w:r>
      <w:r>
        <w:fldChar w:fldCharType="separate"/>
      </w:r>
      <w:r>
        <w:rPr>
          <w:rFonts w:hint="eastAsia"/>
        </w:rPr>
        <w:t>6 强制性</w:t>
      </w:r>
      <w:r>
        <w:t>设计指标</w:t>
      </w:r>
      <w:r>
        <w:tab/>
      </w:r>
      <w:r>
        <w:fldChar w:fldCharType="begin"/>
      </w:r>
      <w:r>
        <w:instrText xml:space="preserve"> PAGEREF _Toc9457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_Toc4412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rPr>
          <w:rFonts w:hint="eastAsia"/>
        </w:rPr>
        <w:t>平均迎风面积比</w:t>
      </w:r>
      <w:r>
        <w:tab/>
      </w:r>
      <w:r>
        <w:fldChar w:fldCharType="begin"/>
      </w:r>
      <w:r>
        <w:instrText xml:space="preserve"> PAGEREF _Toc4412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_Toc17623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rPr>
          <w:rFonts w:hint="eastAsia"/>
        </w:rPr>
        <w:t>活动场地遮阳覆盖率</w:t>
      </w:r>
      <w:r>
        <w:tab/>
      </w:r>
      <w:r>
        <w:fldChar w:fldCharType="begin"/>
      </w:r>
      <w:r>
        <w:instrText xml:space="preserve"> PAGEREF _Toc17623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_Toc1030 </w:instrText>
      </w:r>
      <w:r>
        <w:fldChar w:fldCharType="separate"/>
      </w:r>
      <w:r>
        <w:rPr>
          <w:rFonts w:hint="eastAsia"/>
        </w:rPr>
        <w:t>7 规定性设计指标</w:t>
      </w:r>
      <w:r>
        <w:tab/>
      </w:r>
      <w:r>
        <w:fldChar w:fldCharType="begin"/>
      </w:r>
      <w:r>
        <w:instrText xml:space="preserve"> PAGEREF _Toc1030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_Toc11811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rPr>
          <w:rFonts w:hint="eastAsia"/>
        </w:rPr>
        <w:t>底层通风架空率</w:t>
      </w:r>
      <w:r>
        <w:tab/>
      </w:r>
      <w:r>
        <w:fldChar w:fldCharType="begin"/>
      </w:r>
      <w:r>
        <w:instrText xml:space="preserve"> PAGEREF _Toc11811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_Toc22461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rPr>
          <w:rFonts w:hint="eastAsia"/>
        </w:rPr>
        <w:t>绿化遮阳体叶面积指数</w:t>
      </w:r>
      <w:r>
        <w:tab/>
      </w:r>
      <w:r>
        <w:fldChar w:fldCharType="begin"/>
      </w:r>
      <w:r>
        <w:instrText xml:space="preserve"> PAGEREF _Toc22461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_Toc1617 </w:instrText>
      </w:r>
      <w:r>
        <w:fldChar w:fldCharType="separate"/>
      </w:r>
      <w:r>
        <w:rPr>
          <w:rFonts w:hint="eastAsia"/>
          <w:lang w:val="en-GB"/>
        </w:rPr>
        <w:t xml:space="preserve">7.3 </w:t>
      </w:r>
      <w:r>
        <w:rPr>
          <w:rFonts w:hint="eastAsia"/>
        </w:rPr>
        <w:t>渗透蒸发指标</w:t>
      </w:r>
      <w:r>
        <w:tab/>
      </w:r>
      <w:r>
        <w:fldChar w:fldCharType="begin"/>
      </w:r>
      <w:r>
        <w:instrText xml:space="preserve"> PAGEREF _Toc1617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_Toc20189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rPr>
          <w:rFonts w:hint="eastAsia"/>
        </w:rPr>
        <w:t>屋面绿化率</w:t>
      </w:r>
      <w:r>
        <w:tab/>
      </w:r>
      <w:r>
        <w:fldChar w:fldCharType="begin"/>
      </w:r>
      <w:r>
        <w:instrText xml:space="preserve"> PAGEREF _Toc20189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_Toc13586 </w:instrText>
      </w:r>
      <w:r>
        <w:fldChar w:fldCharType="separate"/>
      </w:r>
      <w:r>
        <w:rPr>
          <w:rFonts w:hint="eastAsia"/>
        </w:rPr>
        <w:t>8 结论</w:t>
      </w:r>
      <w:r>
        <w:tab/>
      </w:r>
      <w:r>
        <w:fldChar w:fldCharType="begin"/>
      </w:r>
      <w:r>
        <w:instrText xml:space="preserve"> PAGEREF _Toc13586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1" w:name="_Toc7535"/>
      <w:r>
        <w:rPr>
          <w:rFonts w:hint="eastAsia"/>
        </w:rPr>
        <w:t>住区概况</w:t>
      </w:r>
      <w:bookmarkEnd w:id="11"/>
    </w:p>
    <w:tbl>
      <w:tblPr>
        <w:tblStyle w:val="20"/>
        <w:tblpPr w:leftFromText="180" w:rightFromText="180" w:vertAnchor="text" w:horzAnchor="margin" w:tblpXSpec="center" w:tblpY="191"/>
        <w:tblW w:w="488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114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1"/>
            <w:r>
              <w:rPr>
                <w:rFonts w:hint="eastAsia" w:ascii="宋体" w:hAnsi="宋体"/>
              </w:rPr>
              <w:t>鸭子桥小学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北京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t>39.95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t>116.35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气候区"/>
            <w:r>
              <w:t>IIA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主导风向"/>
            <w:r>
              <w:t>南</w:t>
            </w:r>
            <w:bookmarkEnd w:id="17"/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18" w:name="总图鸟瞰图"/>
      <w:bookmarkEnd w:id="18"/>
      <w:r>
        <w:drawing>
          <wp:inline distT="0" distB="0" distL="0" distR="0">
            <wp:extent cx="5667375" cy="36576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bookmarkStart w:id="19" w:name="OLE_LINK3"/>
      <w:bookmarkStart w:id="20" w:name="OLE_LINK4"/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.1 场地鸟瞰图</w:t>
      </w:r>
      <w:bookmarkEnd w:id="19"/>
      <w:bookmarkEnd w:id="20"/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21" w:name="总图平面图"/>
      <w:bookmarkEnd w:id="21"/>
      <w:r>
        <w:drawing>
          <wp:inline distT="0" distB="0" distL="0" distR="0">
            <wp:extent cx="5667375" cy="36576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 场地平面图</w:t>
      </w:r>
    </w:p>
    <w:p>
      <w:pPr>
        <w:pStyle w:val="2"/>
      </w:pPr>
      <w:bookmarkStart w:id="22" w:name="_Toc30383"/>
      <w:bookmarkStart w:id="23" w:name="TitleFormat"/>
      <w:r>
        <w:rPr>
          <w:rFonts w:hint="eastAsia"/>
        </w:rPr>
        <w:t>设计依据</w:t>
      </w:r>
      <w:bookmarkEnd w:id="22"/>
    </w:p>
    <w:p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r>
        <w:t>1. 《绿色建筑评价标准》GB/T 50378-2019</w:t>
      </w:r>
      <w:r>
        <w:br w:type="textWrapping"/>
      </w:r>
      <w:r>
        <w:t>2. 《城市居住区热环境设计标准》JGJ 286-2013</w:t>
      </w:r>
      <w:bookmarkEnd w:id="23"/>
      <w:bookmarkEnd w:id="24"/>
    </w:p>
    <w:p>
      <w:pPr>
        <w:pStyle w:val="2"/>
      </w:pPr>
      <w:bookmarkStart w:id="25" w:name="_Toc30475"/>
      <w:r>
        <w:rPr>
          <w:rFonts w:hint="eastAsia"/>
        </w:rPr>
        <w:t>计算规定</w:t>
      </w:r>
      <w:bookmarkEnd w:id="25"/>
    </w:p>
    <w:p>
      <w:pPr>
        <w:pStyle w:val="3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>
        <w:rPr>
          <w:rFonts w:hint="eastAsia" w:ascii="Arial" w:hAnsi="Arial" w:cs="Arial"/>
          <w:color w:val="333333"/>
          <w:shd w:val="clear" w:color="auto" w:fill="FFFFFF"/>
        </w:rPr>
        <w:t>热环境设计标准》的指标体系包括必须满足的强制性条文，在此基础上采用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>
      <w:pPr>
        <w:pStyle w:val="4"/>
      </w:pPr>
      <w:bookmarkStart w:id="26" w:name="_Toc6099"/>
      <w:r>
        <w:rPr>
          <w:rFonts w:hint="eastAsia"/>
        </w:rPr>
        <w:t>强制条文</w:t>
      </w:r>
      <w:bookmarkEnd w:id="26"/>
    </w:p>
    <w:p>
      <w:pPr>
        <w:pStyle w:val="3"/>
        <w:spacing w:line="360" w:lineRule="auto"/>
        <w:ind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</w:t>
      </w:r>
      <w:r>
        <w:rPr>
          <w:bCs/>
          <w:kern w:val="2"/>
          <w:sz w:val="24"/>
          <w:szCs w:val="24"/>
          <w:lang w:val="en-US"/>
        </w:rPr>
        <w:t>4</w:t>
      </w:r>
      <w:r>
        <w:rPr>
          <w:rFonts w:hint="eastAsia"/>
          <w:bCs/>
          <w:kern w:val="2"/>
          <w:sz w:val="24"/>
          <w:szCs w:val="24"/>
          <w:lang w:val="en-US"/>
        </w:rPr>
        <w:t>.1.1</w:t>
      </w:r>
      <w:r>
        <w:rPr>
          <w:bCs/>
          <w:kern w:val="2"/>
          <w:sz w:val="24"/>
          <w:szCs w:val="24"/>
          <w:lang w:val="en-US"/>
        </w:rPr>
        <w:t xml:space="preserve"> 居住区的夏季平均迎风面积比应符合表4．1．1的规定。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表4．1．1 居住区的夏季平均迎风面积比（ζ</w:t>
      </w:r>
      <w:r>
        <w:rPr>
          <w:rStyle w:val="23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23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III、V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0.70</w:t>
            </w:r>
          </w:p>
        </w:tc>
      </w:tr>
    </w:tbl>
    <w:p>
      <w:pPr>
        <w:pStyle w:val="1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>
      <w:pPr>
        <w:pStyle w:val="18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>
        <w:rPr>
          <w:rFonts w:hint="eastAsia" w:ascii="Times New Roman" w:hAnsi="Times New Roman" w:cs="Times New Roman"/>
          <w:kern w:val="2"/>
          <w:sz w:val="21"/>
        </w:rPr>
        <w:t>（2）</w:t>
      </w:r>
      <w:r>
        <w:rPr>
          <w:rFonts w:ascii="Times New Roman" w:hAnsi="Times New Roman" w:cs="Times New Roman"/>
          <w:bCs/>
          <w:kern w:val="2"/>
        </w:rPr>
        <w:t>4</w:t>
      </w:r>
      <w:r>
        <w:rPr>
          <w:rFonts w:hint="eastAsia" w:ascii="Times New Roman" w:hAnsi="Times New Roman" w:cs="Times New Roman"/>
          <w:bCs/>
          <w:kern w:val="2"/>
        </w:rPr>
        <w:t>.2.1</w:t>
      </w:r>
      <w:r>
        <w:rPr>
          <w:rFonts w:ascii="Times New Roman" w:hAnsi="Times New Roman" w:cs="Times New Roman"/>
          <w:bCs/>
          <w:kern w:val="2"/>
        </w:rPr>
        <w:t>居住区夏季户外活动场地应有遮阳，遮阳覆盖率不应小于表4．2．1的规定。</w:t>
      </w:r>
    </w:p>
    <w:p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表4．2．1 居住区活动场地的遮阳覆盖率限值(％)</w:t>
      </w:r>
    </w:p>
    <w:tbl>
      <w:tblPr>
        <w:tblStyle w:val="21"/>
        <w:tblW w:w="0" w:type="auto"/>
        <w:tblInd w:w="1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25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restart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建筑气候区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continue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III、IV、V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50</w:t>
            </w:r>
          </w:p>
        </w:tc>
      </w:tr>
    </w:tbl>
    <w:p>
      <w:pPr>
        <w:pStyle w:val="4"/>
      </w:pPr>
      <w:bookmarkStart w:id="27" w:name="_Toc15701"/>
      <w:r>
        <w:rPr>
          <w:rFonts w:hint="eastAsia"/>
        </w:rPr>
        <w:t>规定性设计</w:t>
      </w:r>
      <w:bookmarkEnd w:id="27"/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（1）4.1.4：在Ⅲ、Ⅳ、Ⅴ建筑气候区，当夏季主导风向上的建筑物迎风面宽度超过80m时，该建筑底层的通风架空率不应小于10％。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（2）4.2.3：</w:t>
      </w:r>
      <w:r>
        <w:rPr>
          <w:rFonts w:ascii="Times New Roman" w:hAnsi="Times New Roman" w:cs="Times New Roman"/>
          <w:bCs/>
          <w:kern w:val="2"/>
        </w:rPr>
        <w:t>绿化遮阳体的叶面积指数不应小于3</w:t>
      </w:r>
      <w:r>
        <w:rPr>
          <w:rFonts w:hint="eastAsia" w:ascii="Times New Roman" w:hAnsi="Times New Roman" w:cs="Times New Roman"/>
          <w:bCs/>
          <w:kern w:val="2"/>
        </w:rPr>
        <w:t>.0</w:t>
      </w:r>
      <w:r>
        <w:rPr>
          <w:rFonts w:ascii="Times New Roman" w:hAnsi="Times New Roman" w:cs="Times New Roman"/>
          <w:bCs/>
          <w:kern w:val="2"/>
        </w:rPr>
        <w:t>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（3）4.3.1：居住区户外活动场地和人行道路地面应有雨水渗透与蒸发能力，渗透与蒸发指标不应低于表4.3.1的规定。</w:t>
      </w:r>
    </w:p>
    <w:p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3</w:t>
      </w:r>
      <w:r>
        <w:rPr>
          <w:rStyle w:val="23"/>
          <w:rFonts w:ascii="Arial" w:hAnsi="Arial" w:cs="Arial"/>
          <w:color w:val="333333"/>
          <w:sz w:val="21"/>
          <w:szCs w:val="21"/>
        </w:rPr>
        <w:t>．1 居住区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地面渗透蒸发指标</w:t>
      </w:r>
    </w:p>
    <w:tbl>
      <w:tblPr>
        <w:tblStyle w:val="20"/>
        <w:tblW w:w="974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I、II、VI、VII气候区</w:t>
            </w:r>
          </w:p>
        </w:tc>
        <w:tc>
          <w:tcPr>
            <w:tcW w:w="44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III、IV、V气候区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（4）居住区内建筑屋面的绿化面积不应低于可绿化屋面面积的50％。</w:t>
      </w:r>
    </w:p>
    <w:p>
      <w:pPr>
        <w:pStyle w:val="3"/>
        <w:ind w:firstLine="199" w:firstLineChars="95"/>
        <w:rPr>
          <w:lang w:val="en-US"/>
        </w:rPr>
      </w:pPr>
      <w:r>
        <w:rPr>
          <w:rFonts w:hint="eastAsia"/>
          <w:lang w:val="en-US"/>
        </w:rPr>
        <w:t>当以上4条有任意一条不能满足时候，需要进行评价性设计。</w:t>
      </w:r>
    </w:p>
    <w:p>
      <w:pPr>
        <w:pStyle w:val="2"/>
      </w:pPr>
      <w:bookmarkStart w:id="28" w:name="_Toc11504"/>
      <w:r>
        <w:rPr>
          <w:rFonts w:hint="eastAsia"/>
        </w:rPr>
        <w:t>计算参数</w:t>
      </w:r>
      <w:bookmarkEnd w:id="28"/>
    </w:p>
    <w:p>
      <w:pPr>
        <w:pStyle w:val="4"/>
      </w:pPr>
      <w:bookmarkStart w:id="29" w:name="_Toc5803"/>
      <w:r>
        <w:rPr>
          <w:rFonts w:hint="eastAsia"/>
        </w:rPr>
        <w:t>典型气象日气象参数</w:t>
      </w:r>
      <w:bookmarkEnd w:id="29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341"/>
        <w:gridCol w:w="1341"/>
        <w:gridCol w:w="1341"/>
        <w:gridCol w:w="1341"/>
        <w:gridCol w:w="1341"/>
        <w:gridCol w:w="13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干球温度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相对湿度(%)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水平总辐射照度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(W/㎡)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水平散射辐射照度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(W/㎡)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风速(m/s)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主导风向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31.86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28.32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123.90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97.94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230.10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178.18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1.7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359.90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260.78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1.9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472.00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322.14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553.42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378.78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607.70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403.56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607.70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400.02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569.94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384.68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2.8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495.60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330.40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2.8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382.32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256.06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253.70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129.80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94.40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18.88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16.52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1.7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日平均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201.53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138.70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30" w:name="气象参数"/>
      <w:bookmarkEnd w:id="30"/>
    </w:p>
    <w:p>
      <w:pPr>
        <w:pStyle w:val="4"/>
      </w:pPr>
      <w:bookmarkStart w:id="31" w:name="_Toc25862"/>
      <w:r>
        <w:rPr>
          <w:rFonts w:hint="eastAsia"/>
        </w:rPr>
        <w:t>渗透面夏季逐时蒸发量</w:t>
      </w:r>
      <w:bookmarkEnd w:id="31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水面(kg/(㎡.h))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绿地(kg/(㎡.h))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渗透型硬地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(kg/(㎡.h))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绿化屋面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(kg/(㎡.h))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日累计(kg/(㎡.d))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12.50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7.70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1.70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6.16</w:t>
            </w: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32" w:name="蒸发量参数"/>
      <w:bookmarkEnd w:id="32"/>
    </w:p>
    <w:p>
      <w:pPr>
        <w:pStyle w:val="2"/>
      </w:pPr>
      <w:bookmarkStart w:id="33" w:name="_Toc30653"/>
      <w:r>
        <w:rPr>
          <w:rFonts w:hint="eastAsia"/>
        </w:rPr>
        <w:t>住区指标概览</w:t>
      </w:r>
      <w:bookmarkEnd w:id="33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6"/>
        <w:gridCol w:w="46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地块面积(㎡)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18892.34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建筑密度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室外面积(㎡)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15255.43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广场面积(㎡)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2305.01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道路面积(㎡)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绿地面积(㎡)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8943.65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水面面积(㎡)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绿化屋面面积(㎡)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3832.70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乔木爬藤面积(㎡)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5581.40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亭廊面积(㎡)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渗透型硬地面积(㎡)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2305.01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地表平均太阳辐射吸收系数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地面粗糙系数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平均迎风面积比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CTTC居住区热时间常数(h)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绿化遮阳覆盖率(%)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构筑物遮阳覆盖率(%)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平均天空角系数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通风架空率()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4" w:name="住区指标概览"/>
      <w:bookmarkEnd w:id="34"/>
    </w:p>
    <w:p>
      <w:pPr>
        <w:pStyle w:val="2"/>
      </w:pPr>
      <w:bookmarkStart w:id="35" w:name="_Toc9457"/>
      <w:r>
        <w:rPr>
          <w:rFonts w:hint="eastAsia"/>
        </w:rPr>
        <w:t>强制性</w:t>
      </w:r>
      <w:r>
        <w:t>设计指标</w:t>
      </w:r>
      <w:bookmarkEnd w:id="35"/>
    </w:p>
    <w:p>
      <w:pPr>
        <w:pStyle w:val="4"/>
      </w:pPr>
      <w:bookmarkStart w:id="36" w:name="_Toc4412"/>
      <w:r>
        <w:rPr>
          <w:rFonts w:hint="eastAsia"/>
        </w:rPr>
        <w:t>平均迎风面积比</w:t>
      </w:r>
      <w:bookmarkEnd w:id="36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迎风面积(㎡)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最大可能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迎风面积(㎡)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最大可能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迎风方向(°)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迎风面积比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3#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80.64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82.64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103.00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0.9758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4#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12.14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14.61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124.00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0.8310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5#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51.73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54.15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107.00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0.9554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6#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25.99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39.47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140.00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0.6585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7#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56.59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59.04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115.00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0.9586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8#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22.95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79.08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0.2902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9#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23.50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67.44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0.3484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停车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130.71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132.22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102.00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0.9886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教学楼平面图终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2321.40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2386.62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77.00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0.9727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综合楼平面图终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907.28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1002.58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112.00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0.9049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平均迎风面积比</w:t>
            </w:r>
          </w:p>
        </w:tc>
        <w:tc>
          <w:tcPr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0.788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《城市居住区热环境设计标准》4.1.1条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平均迎风面积比≤0.85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7" w:name="平均迎风面积比"/>
      <w:bookmarkEnd w:id="37"/>
    </w:p>
    <w:p>
      <w:pPr>
        <w:pStyle w:val="4"/>
      </w:pPr>
      <w:bookmarkStart w:id="38" w:name="_Toc17623"/>
      <w:r>
        <w:rPr>
          <w:rFonts w:hint="eastAsia"/>
        </w:rPr>
        <w:t>活动场地遮阳覆盖率</w:t>
      </w:r>
      <w:bookmarkEnd w:id="38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场地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遮阳面积(㎡)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场地面积(㎡)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遮阳覆盖率(%)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覆盖率限值(%)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广场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400</w:t>
            </w:r>
            <w:r>
              <w:rPr>
                <w:sz w:val="21"/>
                <w:szCs w:val="21"/>
              </w:rPr>
              <w:t>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2305.0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《城市居住区热环境设计标准》4.2.1条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各类活动场地遮阳覆盖率不得低于标准要求限值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b/>
                <w:color w:val="auto"/>
                <w:sz w:val="21"/>
                <w:szCs w:val="21"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9" w:name="活动场地遮阳覆盖率"/>
      <w:bookmarkEnd w:id="39"/>
    </w:p>
    <w:p>
      <w:pPr>
        <w:pStyle w:val="2"/>
      </w:pPr>
      <w:bookmarkStart w:id="40" w:name="_Toc1030"/>
      <w:r>
        <w:rPr>
          <w:rFonts w:hint="eastAsia"/>
        </w:rPr>
        <w:t>规定性设计指标</w:t>
      </w:r>
      <w:bookmarkEnd w:id="40"/>
    </w:p>
    <w:p>
      <w:pPr>
        <w:pStyle w:val="4"/>
      </w:pPr>
      <w:bookmarkStart w:id="41" w:name="_Toc11811"/>
      <w:r>
        <w:rPr>
          <w:rFonts w:hint="eastAsia"/>
        </w:rPr>
        <w:t>底层通风架空率</w:t>
      </w:r>
      <w:bookmarkEnd w:id="41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底层架空面积(㎡)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基底面积(㎡)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迎风面宽度(m)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底层通风架空率(%)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3#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96.7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4#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16.4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5#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81.5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6#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44.6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7#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85.8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8#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41.3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9#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110.6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停车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168.5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教学楼平面图终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1103.0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1720.7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92.6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综合楼平面图终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1270.8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54.8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《城市居住区热环境设计标准》4.1.4条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III、IV、V气候区，夏季主导风向迎风面积宽度超过80m时，底层通风架空率不应小于10%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2" w:name="底层通风架空率"/>
      <w:bookmarkEnd w:id="42"/>
    </w:p>
    <w:p>
      <w:pPr>
        <w:pStyle w:val="4"/>
      </w:pPr>
      <w:bookmarkStart w:id="43" w:name="_Toc22461"/>
      <w:r>
        <w:rPr>
          <w:rFonts w:hint="eastAsia"/>
        </w:rPr>
        <w:t>绿化遮阳体叶面积指数</w:t>
      </w:r>
      <w:bookmarkEnd w:id="43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遮阳体类型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叶面积指数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面积(㎡)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乔木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&gt;= 3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&lt; 3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爬藤棚架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&gt;= 3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&lt; 3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《城市居住区热环境设计标准》4.2.3条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绿化遮阳体叶面积指数不应小于3.0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4" w:name="绿化遮阳体叶面积指数"/>
      <w:bookmarkEnd w:id="44"/>
    </w:p>
    <w:p>
      <w:pPr>
        <w:pStyle w:val="4"/>
      </w:pPr>
      <w:bookmarkStart w:id="45" w:name="_Toc1617"/>
      <w:r>
        <w:rPr>
          <w:rFonts w:hint="eastAsia"/>
        </w:rPr>
        <w:t>渗透蒸发指标</w:t>
      </w:r>
      <w:bookmarkEnd w:id="45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地面透水系数k(mm/s)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蒸发量m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(kg/(㎡·d))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广场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2305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300.00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2305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300.00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1.69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6" w:name="渗透蒸发指标"/>
      <w:bookmarkEnd w:id="46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渗透面积比率(%)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限值(%)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广场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渗透与蒸发指标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限值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地面透水系数k(mm/s)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300.00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蒸发量m(kg/(㎡·d))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1.69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《城市居住区热环境设计标准》4.3.1条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渗透面积比率、透水系数及蒸发量不应低于标准规定限值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4"/>
      </w:pPr>
      <w:bookmarkStart w:id="47" w:name="_Toc20189"/>
      <w:r>
        <w:rPr>
          <w:rFonts w:hint="eastAsia"/>
        </w:rPr>
        <w:t>屋面绿化率</w:t>
      </w:r>
      <w:bookmarkEnd w:id="47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屋面轮廓面积(㎡)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屋顶绿化面积(㎡)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可绿化屋面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屋面绿化率(%)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3#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96.7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83.8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96.7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4#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16.4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9.4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16.4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5#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81.5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62.1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81.5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6#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44.6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41.2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44.6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7#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85.8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85.8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85.8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8#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41.3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41.3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41.3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9#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110.6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110.5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110.6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停车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168.5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157.2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168.5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教学楼平面图终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1720.7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1674.3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1720.7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综合楼平面图终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1270.8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1186.1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1270.8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3636.9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3451.8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3636.9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《城市居住区热环境设计标准》4.4.2条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建筑屋面的绿化面积不应低于可绿化屋面面积的50%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8" w:name="屋面绿化率"/>
      <w:bookmarkEnd w:id="48"/>
    </w:p>
    <w:p>
      <w:pPr>
        <w:pStyle w:val="2"/>
      </w:pPr>
      <w:bookmarkStart w:id="49" w:name="_Toc13586"/>
      <w:r>
        <w:rPr>
          <w:rFonts w:hint="eastAsia"/>
        </w:rPr>
        <w:t>结论</w:t>
      </w:r>
      <w:bookmarkEnd w:id="49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800"/>
        <w:gridCol w:w="1866"/>
        <w:gridCol w:w="28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>
            <w:pPr>
              <w:rPr>
                <w:b/>
              </w:rPr>
            </w:pPr>
            <w:bookmarkStart w:id="51" w:name="平均迎风面积比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>
            <w:r>
              <w:rPr>
                <w:b/>
              </w:rPr>
              <w:t>强制条文，必须满足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>
            <w:pPr>
              <w:rPr>
                <w:b/>
              </w:rPr>
            </w:pPr>
            <w:bookmarkStart w:id="52" w:name="活动场地遮阳覆盖率结论"/>
            <w:r>
              <w:rPr>
                <w:rFonts w:hint="eastAsia"/>
                <w:b/>
                <w:color w:val="auto"/>
              </w:rPr>
              <w:t>满足</w:t>
            </w:r>
            <w:bookmarkEnd w:id="52"/>
            <w:bookmarkStart w:id="58" w:name="_GoBack"/>
            <w:bookmarkEnd w:id="58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>
            <w:r>
              <w:t>规定性设计</w:t>
            </w:r>
          </w:p>
        </w:tc>
        <w:tc>
          <w:tcPr>
            <w:tcW w:w="2800" w:type="dxa"/>
            <w:vAlign w:val="center"/>
          </w:tcPr>
          <w:p>
            <w:r>
              <w:t>底层通风架空率</w:t>
            </w:r>
          </w:p>
        </w:tc>
        <w:tc>
          <w:tcPr>
            <w:tcW w:w="1866" w:type="dxa"/>
            <w:vAlign w:val="center"/>
          </w:tcPr>
          <w:p>
            <w:bookmarkStart w:id="53" w:name="底层通风架空率结论"/>
            <w:r>
              <w:t>满足</w:t>
            </w:r>
            <w:bookmarkEnd w:id="53"/>
          </w:p>
        </w:tc>
        <w:tc>
          <w:tcPr>
            <w:tcW w:w="2800" w:type="dxa"/>
            <w:vMerge w:val="restart"/>
            <w:vAlign w:val="center"/>
          </w:tcPr>
          <w:p>
            <w:r>
              <w:t>不满足任意一条时，进行评价性设计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>
            <w:bookmarkStart w:id="54" w:name="绿化遮阳体叶面积指数结论"/>
            <w:r>
              <w:t>满足</w:t>
            </w:r>
            <w:bookmarkEnd w:id="54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渗透蒸发指标</w:t>
            </w:r>
          </w:p>
        </w:tc>
        <w:tc>
          <w:tcPr>
            <w:tcW w:w="1866" w:type="dxa"/>
            <w:vAlign w:val="center"/>
          </w:tcPr>
          <w:p>
            <w:bookmarkStart w:id="55" w:name="渗透蒸发指标结论"/>
            <w:r>
              <w:t>满足</w:t>
            </w:r>
            <w:bookmarkEnd w:id="55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屋面绿化率</w:t>
            </w:r>
          </w:p>
        </w:tc>
        <w:tc>
          <w:tcPr>
            <w:tcW w:w="1866" w:type="dxa"/>
            <w:vAlign w:val="center"/>
          </w:tcPr>
          <w:p>
            <w:bookmarkStart w:id="56" w:name="屋面绿化率结论"/>
            <w:r>
              <w:t>满足</w:t>
            </w:r>
            <w:bookmarkEnd w:id="56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>
            <w:pPr>
              <w:rPr>
                <w:b/>
              </w:rPr>
            </w:pPr>
            <w:bookmarkStart w:id="57" w:name="总结论"/>
            <w:r>
              <w:rPr>
                <w:rFonts w:hint="eastAsia"/>
                <w:b/>
                <w:color w:val="auto"/>
              </w:rPr>
              <w:t>满足</w:t>
            </w:r>
            <w:bookmarkEnd w:id="57"/>
          </w:p>
        </w:tc>
      </w:tr>
    </w:tbl>
    <w:p>
      <w:pPr>
        <w:pStyle w:val="3"/>
        <w:ind w:firstLine="420"/>
        <w:rPr>
          <w:lang w:val="en-US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separate"/>
    </w:r>
    <w:r>
      <w:rPr>
        <w:rStyle w:val="24"/>
      </w:rPr>
      <w:t>1</w:t>
    </w:r>
    <w:r>
      <w:rPr>
        <w:rStyle w:val="24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0YzljZWVkYjE5NTBjNGM5Mzc5MTk2ZDgwNmYyZDUifQ=="/>
  </w:docVars>
  <w:rsids>
    <w:rsidRoot w:val="54BB16B6"/>
    <w:rsid w:val="0000545C"/>
    <w:rsid w:val="0001409C"/>
    <w:rsid w:val="00026B3F"/>
    <w:rsid w:val="00037A4C"/>
    <w:rsid w:val="00051EA5"/>
    <w:rsid w:val="0005749E"/>
    <w:rsid w:val="000A30EF"/>
    <w:rsid w:val="000B10AF"/>
    <w:rsid w:val="000B2169"/>
    <w:rsid w:val="000B2FE8"/>
    <w:rsid w:val="000C5EBC"/>
    <w:rsid w:val="000D23A3"/>
    <w:rsid w:val="000E6711"/>
    <w:rsid w:val="000F23AD"/>
    <w:rsid w:val="000F6615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56900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1CF8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053D6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5E5D7C"/>
    <w:rsid w:val="005F7D7C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83043"/>
    <w:rsid w:val="007D1A35"/>
    <w:rsid w:val="007E78A4"/>
    <w:rsid w:val="00832581"/>
    <w:rsid w:val="008329E7"/>
    <w:rsid w:val="00870C53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55355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A1F89"/>
    <w:rsid w:val="00DC73AD"/>
    <w:rsid w:val="00DD16C4"/>
    <w:rsid w:val="00DD42A2"/>
    <w:rsid w:val="00DD50F9"/>
    <w:rsid w:val="00DE224D"/>
    <w:rsid w:val="00DF470C"/>
    <w:rsid w:val="00E0575B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C7220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D4568"/>
    <w:rsid w:val="00FE25F2"/>
    <w:rsid w:val="00FF2243"/>
    <w:rsid w:val="54BB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18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paragraph" w:styleId="19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1">
    <w:name w:val="Table Grid"/>
    <w:basedOn w:val="20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page number"/>
    <w:basedOn w:val="22"/>
    <w:uiPriority w:val="0"/>
  </w:style>
  <w:style w:type="character" w:styleId="25">
    <w:name w:val="Hyperlink"/>
    <w:uiPriority w:val="99"/>
    <w:rPr>
      <w:color w:val="0000FF"/>
      <w:u w:val="single"/>
    </w:rPr>
  </w:style>
  <w:style w:type="character" w:customStyle="1" w:styleId="26">
    <w:name w:val="标题 Char"/>
    <w:basedOn w:val="22"/>
    <w:link w:val="19"/>
    <w:uiPriority w:val="0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bmp"/><Relationship Id="rId8" Type="http://schemas.openxmlformats.org/officeDocument/2006/relationships/image" Target="media/image3.bmp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Pages>10</Pages>
  <Words>2416</Words>
  <Characters>4034</Characters>
  <Lines>20</Lines>
  <Paragraphs>5</Paragraphs>
  <TotalTime>0</TotalTime>
  <ScaleCrop>false</ScaleCrop>
  <LinksUpToDate>false</LinksUpToDate>
  <CharactersWithSpaces>4102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2024-12-26T06:22:00Z</dcterms:created>
  <dc:creator>マッシュ・ギレライト</dc:creator>
  <cp:lastModifiedBy>マッシュ・ギレライト</cp:lastModifiedBy>
  <dcterms:modified xsi:type="dcterms:W3CDTF">2024-12-26T06:23:09Z</dcterms:modified>
  <dc:title>住区热环境规定性设计计算书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E4DB3D2ED9A64EDC8803FF7F2EE7D759_11</vt:lpwstr>
  </property>
  <property fmtid="{D5CDD505-2E9C-101B-9397-08002B2CF9AE}" pid="3" name="KSOProductBuildVer">
    <vt:lpwstr>2052-12.1.0.16120</vt:lpwstr>
  </property>
</Properties>
</file>