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bookmarkStart w:id="66" w:name="_GoBack"/>
      <w:bookmarkEnd w:id="66"/>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鸭子桥小学综合楼部分</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北京</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北京联合大学</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2024年12月20日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T13718925802</w:t>
            </w:r>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_Toc19560 </w:instrText>
      </w:r>
      <w:r>
        <w:rPr>
          <w:rFonts w:ascii="宋体" w:hAnsi="宋体"/>
          <w:bCs w:val="0"/>
          <w:caps/>
        </w:rPr>
        <w:fldChar w:fldCharType="separate"/>
      </w:r>
      <w:r>
        <w:rPr>
          <w:rFonts w:hint="eastAsia"/>
        </w:rPr>
        <w:t>1 项目概况</w:t>
      </w:r>
      <w:r>
        <w:tab/>
      </w:r>
      <w:r>
        <w:fldChar w:fldCharType="begin"/>
      </w:r>
      <w:r>
        <w:instrText xml:space="preserve"> PAGEREF _Toc19560 \h </w:instrText>
      </w:r>
      <w:r>
        <w:fldChar w:fldCharType="separate"/>
      </w:r>
      <w:r>
        <w:t>3</w:t>
      </w:r>
      <w:r>
        <w:fldChar w:fldCharType="end"/>
      </w:r>
      <w:r>
        <w:rPr>
          <w:rFonts w:ascii="宋体" w:hAnsi="宋体"/>
          <w:bCs w:val="0"/>
          <w:caps/>
        </w:rPr>
        <w:fldChar w:fldCharType="end"/>
      </w:r>
    </w:p>
    <w:p>
      <w:pPr>
        <w:pStyle w:val="20"/>
        <w:tabs>
          <w:tab w:val="right" w:leader="dot" w:pos="8930"/>
          <w:tab w:val="clear" w:pos="540"/>
          <w:tab w:val="clear" w:pos="840"/>
          <w:tab w:val="clear" w:pos="9360"/>
        </w:tabs>
      </w:pPr>
      <w:r>
        <w:fldChar w:fldCharType="begin"/>
      </w:r>
      <w:r>
        <w:instrText xml:space="preserve"> HYPERLINK \l _Toc5821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_Toc5821 \h </w:instrText>
      </w:r>
      <w:r>
        <w:fldChar w:fldCharType="separate"/>
      </w:r>
      <w:r>
        <w:t>4</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_Toc25360 </w:instrText>
      </w:r>
      <w:r>
        <w:fldChar w:fldCharType="separate"/>
      </w:r>
      <w:r>
        <w:rPr>
          <w:rFonts w:hint="eastAsia"/>
        </w:rPr>
        <w:t>2 计算</w:t>
      </w:r>
      <w:r>
        <w:t>依据</w:t>
      </w:r>
      <w:r>
        <w:tab/>
      </w:r>
      <w:r>
        <w:fldChar w:fldCharType="begin"/>
      </w:r>
      <w:r>
        <w:instrText xml:space="preserve"> PAGEREF _Toc25360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_Toc30161 </w:instrText>
      </w:r>
      <w:r>
        <w:fldChar w:fldCharType="separate"/>
      </w:r>
      <w:r>
        <w:rPr>
          <w:rFonts w:hint="eastAsia"/>
        </w:rPr>
        <w:t>3 参考</w:t>
      </w:r>
      <w:r>
        <w:t>标准</w:t>
      </w:r>
      <w:r>
        <w:tab/>
      </w:r>
      <w:r>
        <w:fldChar w:fldCharType="begin"/>
      </w:r>
      <w:r>
        <w:instrText xml:space="preserve"> PAGEREF _Toc30161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_Toc10581 </w:instrText>
      </w:r>
      <w:r>
        <w:fldChar w:fldCharType="separate"/>
      </w:r>
      <w:r>
        <w:rPr>
          <w:rFonts w:hint="eastAsia"/>
        </w:rPr>
        <w:t>4 计算方法</w:t>
      </w:r>
      <w:r>
        <w:tab/>
      </w:r>
      <w:r>
        <w:fldChar w:fldCharType="begin"/>
      </w:r>
      <w:r>
        <w:instrText xml:space="preserve"> PAGEREF _Toc10581 \h </w:instrText>
      </w:r>
      <w:r>
        <w:fldChar w:fldCharType="separate"/>
      </w:r>
      <w:r>
        <w:t>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_Toc4769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_Toc4769 \h </w:instrText>
      </w:r>
      <w:r>
        <w:fldChar w:fldCharType="separate"/>
      </w:r>
      <w:r>
        <w:t>5</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_Toc13734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_Toc13734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_Toc12430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_Toc12430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_Toc20960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_Toc20960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_Toc15863 </w:instrText>
      </w:r>
      <w:r>
        <w:fldChar w:fldCharType="separate"/>
      </w:r>
      <w:r>
        <w:rPr>
          <w:rFonts w:hint="eastAsia"/>
        </w:rPr>
        <w:t>5 计算参数</w:t>
      </w:r>
      <w:r>
        <w:tab/>
      </w:r>
      <w:r>
        <w:fldChar w:fldCharType="begin"/>
      </w:r>
      <w:r>
        <w:instrText xml:space="preserve"> PAGEREF _Toc15863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_Toc14077 </w:instrText>
      </w:r>
      <w:r>
        <w:fldChar w:fldCharType="separate"/>
      </w:r>
      <w:r>
        <w:rPr>
          <w:rFonts w:hint="eastAsia"/>
        </w:rPr>
        <w:t>6 计算结果</w:t>
      </w:r>
      <w:r>
        <w:tab/>
      </w:r>
      <w:r>
        <w:fldChar w:fldCharType="begin"/>
      </w:r>
      <w:r>
        <w:instrText xml:space="preserve"> PAGEREF _Toc14077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_Toc19387 </w:instrText>
      </w:r>
      <w:r>
        <w:fldChar w:fldCharType="separate"/>
      </w:r>
      <w:r>
        <w:rPr>
          <w:rFonts w:hint="eastAsia"/>
          <w:lang w:val="en-GB"/>
        </w:rPr>
        <w:t xml:space="preserve">6.1 </w:t>
      </w:r>
      <w:r>
        <w:rPr>
          <w:rFonts w:hint="eastAsia"/>
        </w:rPr>
        <w:t>PMV-PPD指标</w:t>
      </w:r>
      <w:r>
        <w:tab/>
      </w:r>
      <w:r>
        <w:fldChar w:fldCharType="begin"/>
      </w:r>
      <w:r>
        <w:instrText xml:space="preserve"> PAGEREF _Toc19387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_Toc9980 </w:instrText>
      </w:r>
      <w:r>
        <w:fldChar w:fldCharType="separate"/>
      </w:r>
      <w:r>
        <w:rPr>
          <w:rFonts w:hint="eastAsia"/>
          <w:lang w:val="en-GB"/>
        </w:rPr>
        <w:t xml:space="preserve">6.2 </w:t>
      </w:r>
      <w:r>
        <w:rPr>
          <w:rFonts w:hint="eastAsia"/>
        </w:rPr>
        <w:t>达标情况</w:t>
      </w:r>
      <w:r>
        <w:tab/>
      </w:r>
      <w:r>
        <w:fldChar w:fldCharType="begin"/>
      </w:r>
      <w:r>
        <w:instrText xml:space="preserve"> PAGEREF _Toc9980 \h </w:instrText>
      </w:r>
      <w:r>
        <w:fldChar w:fldCharType="separate"/>
      </w:r>
      <w:r>
        <w:t>8</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_Toc24383 </w:instrText>
      </w:r>
      <w:r>
        <w:fldChar w:fldCharType="separate"/>
      </w:r>
      <w:r>
        <w:rPr>
          <w:rFonts w:hint="eastAsia"/>
        </w:rPr>
        <w:t>7 结论</w:t>
      </w:r>
      <w:r>
        <w:tab/>
      </w:r>
      <w:r>
        <w:fldChar w:fldCharType="begin"/>
      </w:r>
      <w:r>
        <w:instrText xml:space="preserve"> PAGEREF _Toc24383 \h </w:instrText>
      </w:r>
      <w:r>
        <w:fldChar w:fldCharType="separate"/>
      </w:r>
      <w:r>
        <w:t>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pPr>
        <w:pStyle w:val="2"/>
      </w:pPr>
      <w:bookmarkStart w:id="12" w:name="_Toc452108759"/>
      <w:bookmarkStart w:id="13" w:name="_Toc44662463"/>
      <w:bookmarkStart w:id="14" w:name="_Toc19560"/>
      <w:r>
        <w:rPr>
          <w:rFonts w:hint="eastAsia"/>
        </w:rPr>
        <w:t>项目概况</w:t>
      </w:r>
      <w:bookmarkEnd w:id="12"/>
      <w:bookmarkEnd w:id="13"/>
      <w:bookmarkEnd w:id="14"/>
    </w:p>
    <w:p>
      <w:pPr>
        <w:pStyle w:val="3"/>
        <w:ind w:firstLine="420"/>
        <w:rPr>
          <w:lang w:val="en-US"/>
        </w:rPr>
      </w:pPr>
      <w:bookmarkStart w:id="15" w:name="项目概况"/>
      <w:bookmarkEnd w:id="15"/>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3"/>
        <w:ind w:firstLine="0" w:firstLineChars="0"/>
        <w:jc w:val="center"/>
        <w:rPr>
          <w:lang w:val="en-US"/>
        </w:rPr>
      </w:pPr>
    </w:p>
    <w:p>
      <w:pPr>
        <w:pStyle w:val="4"/>
      </w:pPr>
      <w:bookmarkStart w:id="16" w:name="_Toc44662464"/>
      <w:bookmarkStart w:id="17" w:name="_Toc452108761"/>
      <w:bookmarkStart w:id="18" w:name="_Toc5821"/>
      <w:r>
        <w:rPr>
          <w:rFonts w:hint="eastAsia"/>
        </w:rPr>
        <w:t>三</w:t>
      </w:r>
      <w:r>
        <w:t>维视图</w:t>
      </w:r>
      <w:bookmarkEnd w:id="16"/>
      <w:bookmarkEnd w:id="17"/>
      <w:bookmarkEnd w:id="18"/>
    </w:p>
    <w:p>
      <w:pPr>
        <w:pStyle w:val="3"/>
        <w:ind w:firstLine="0" w:firstLineChars="0"/>
        <w:jc w:val="center"/>
        <w:rPr>
          <w:lang w:val="en-US"/>
        </w:rPr>
      </w:pPr>
      <w:bookmarkStart w:id="19" w:name="模型观察"/>
      <w:bookmarkStart w:id="20" w:name="三维视图"/>
      <w:r>
        <w:t>请先在【模型观察】命令中保存图片</w:t>
      </w:r>
      <w:bookmarkEnd w:id="19"/>
      <w:bookmarkEnd w:id="2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_Toc44662465"/>
      <w:bookmarkStart w:id="22" w:name="_Toc452108762"/>
      <w:bookmarkStart w:id="23" w:name="TitleFormat"/>
      <w:bookmarkStart w:id="24" w:name="_Toc25360"/>
      <w:r>
        <w:rPr>
          <w:rFonts w:hint="eastAsia"/>
        </w:rPr>
        <w:t>计算</w:t>
      </w:r>
      <w:r>
        <w:t>依据</w:t>
      </w:r>
      <w:bookmarkEnd w:id="21"/>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44662466"/>
      <w:bookmarkStart w:id="30" w:name="_Toc30161"/>
      <w:r>
        <w:rPr>
          <w:rFonts w:hint="eastAsia"/>
        </w:rPr>
        <w:t>参考</w:t>
      </w:r>
      <w:r>
        <w:t>标准</w:t>
      </w:r>
      <w:bookmarkEnd w:id="25"/>
      <w:bookmarkEnd w:id="29"/>
      <w:bookmarkEnd w:id="30"/>
    </w:p>
    <w:p>
      <w:pPr>
        <w:pStyle w:val="3"/>
        <w:ind w:firstLine="420"/>
        <w:rPr>
          <w:lang w:val="en-US"/>
        </w:rPr>
      </w:pPr>
      <w:bookmarkStart w:id="31" w:name="_Toc452108764"/>
      <w:bookmarkStart w:id="32" w:name="_Toc451698935"/>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pPr>
        <w:pStyle w:val="2"/>
      </w:pPr>
      <w:bookmarkStart w:id="34" w:name="_Toc44662467"/>
      <w:bookmarkStart w:id="35" w:name="_Toc10581"/>
      <w:r>
        <w:rPr>
          <w:rFonts w:hint="eastAsia"/>
        </w:rPr>
        <w:t>计算</w:t>
      </w:r>
      <w:bookmarkEnd w:id="31"/>
      <w:bookmarkEnd w:id="32"/>
      <w:r>
        <w:rPr>
          <w:rFonts w:hint="eastAsia"/>
        </w:rPr>
        <w:t>方法</w:t>
      </w:r>
      <w:bookmarkEnd w:id="34"/>
      <w:bookmarkEnd w:id="35"/>
    </w:p>
    <w:p>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pPr>
        <w:pStyle w:val="4"/>
      </w:pPr>
      <w:bookmarkStart w:id="36" w:name="_Toc44662472"/>
      <w:bookmarkStart w:id="37" w:name="_Toc4769"/>
      <w:r>
        <w:rPr>
          <w:rFonts w:hint="eastAsia"/>
        </w:rPr>
        <w:t>热湿环境评价</w:t>
      </w:r>
      <w:r>
        <w:t>指标</w:t>
      </w:r>
      <w:r>
        <w:rPr>
          <w:rFonts w:hint="eastAsia"/>
        </w:rPr>
        <w:t>计算</w:t>
      </w:r>
      <w:bookmarkEnd w:id="36"/>
      <w:bookmarkEnd w:id="37"/>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pPr>
        <w:pStyle w:val="5"/>
      </w:pPr>
      <w:bookmarkStart w:id="39" w:name="_Toc44662473"/>
      <w:bookmarkStart w:id="40" w:name="_Toc13734"/>
      <w:r>
        <w:t>PMV</w:t>
      </w:r>
      <w:r>
        <w:rPr>
          <w:rFonts w:hint="eastAsia"/>
        </w:rPr>
        <w:t>计算公式</w:t>
      </w:r>
      <w:bookmarkEnd w:id="39"/>
      <w:bookmarkEnd w:id="40"/>
    </w:p>
    <w:bookmarkEnd w:id="38"/>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1" w:name="_Toc44662474"/>
      <w:bookmarkStart w:id="42" w:name="_Toc12430"/>
      <w:r>
        <w:t>PPD</w:t>
      </w:r>
      <w:r>
        <w:rPr>
          <w:rFonts w:hint="eastAsia"/>
        </w:rPr>
        <w:t>计算公式</w:t>
      </w:r>
      <w:bookmarkEnd w:id="41"/>
      <w:bookmarkEnd w:id="42"/>
    </w:p>
    <w:p>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3" w:name="_Toc44662475"/>
      <w:bookmarkStart w:id="44" w:name="_Toc20960"/>
      <w:r>
        <w:rPr>
          <w:rFonts w:hint="eastAsia"/>
        </w:rPr>
        <w:t>PMV和PPD达标比例计算</w:t>
      </w:r>
      <w:bookmarkEnd w:id="43"/>
      <w:bookmarkEnd w:id="44"/>
    </w:p>
    <w:p>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pPr>
        <w:pStyle w:val="2"/>
        <w:tabs>
          <w:tab w:val="left" w:pos="8931"/>
        </w:tabs>
      </w:pPr>
      <w:bookmarkStart w:id="45" w:name="_Toc15863"/>
      <w:r>
        <w:rPr>
          <w:rFonts w:hint="eastAsia"/>
        </w:rPr>
        <w:t>计算参数</w:t>
      </w:r>
      <w:bookmarkEnd w:id="45"/>
    </w:p>
    <w:p>
      <w:pPr>
        <w:pStyle w:val="3"/>
        <w:tabs>
          <w:tab w:val="left" w:pos="8931"/>
        </w:tabs>
        <w:ind w:firstLine="420"/>
        <w:rPr>
          <w:lang w:val="en-US"/>
        </w:rPr>
      </w:pPr>
      <w:r>
        <w:rPr>
          <w:rFonts w:hint="eastAsia"/>
          <w:lang w:val="en-US"/>
        </w:rPr>
        <w:t>本项目为</w:t>
      </w:r>
      <w:bookmarkStart w:id="46" w:name="计算工况"/>
      <w:r>
        <w:rPr>
          <w:rFonts w:hint="eastAsia"/>
          <w:lang w:val="en-US"/>
        </w:rPr>
        <w:t>夏季</w:t>
      </w:r>
      <w:bookmarkEnd w:id="46"/>
      <w:r>
        <w:rPr>
          <w:rFonts w:hint="eastAsia"/>
          <w:lang w:val="en-US"/>
        </w:rPr>
        <w:t>工况，采用</w:t>
      </w:r>
      <w:bookmarkStart w:id="47" w:name="暖通空调形式"/>
      <w:r>
        <w:rPr>
          <w:rFonts w:hint="eastAsia"/>
          <w:lang w:val="en-US"/>
        </w:rPr>
        <w:t>集中式供暖</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pPr>
              <w:pStyle w:val="3"/>
              <w:spacing w:line="0" w:lineRule="atLeast"/>
              <w:ind w:firstLine="0" w:firstLineChars="0"/>
              <w:jc w:val="center"/>
            </w:pPr>
            <w:bookmarkStart w:id="48" w:name="计算工况表"/>
            <w:r>
              <w:rPr>
                <w:rFonts w:hint="eastAsia"/>
              </w:rPr>
              <w:t>温度</w:t>
            </w:r>
          </w:p>
          <w:p>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pPr>
              <w:pStyle w:val="3"/>
              <w:spacing w:line="0" w:lineRule="atLeast"/>
              <w:ind w:firstLine="210" w:firstLineChars="100"/>
              <w:jc w:val="center"/>
            </w:pPr>
            <w:r>
              <w:rPr>
                <w:rFonts w:hint="eastAsia"/>
              </w:rPr>
              <w:t>风速</w:t>
            </w:r>
          </w:p>
          <w:p>
            <w:pPr>
              <w:pStyle w:val="3"/>
              <w:spacing w:line="0" w:lineRule="atLeast"/>
              <w:ind w:firstLine="0" w:firstLineChars="0"/>
              <w:jc w:val="center"/>
            </w:pPr>
            <w:r>
              <w:t>(</w:t>
            </w:r>
            <w:r>
              <w:rPr>
                <w:rFonts w:hint="eastAsia"/>
              </w:rPr>
              <w:t>℃</w:t>
            </w:r>
            <w:r>
              <w:t>)</w:t>
            </w:r>
          </w:p>
        </w:tc>
        <w:tc>
          <w:tcPr>
            <w:tcW w:w="1134"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c>
          <w:tcPr>
            <w:tcW w:w="1843" w:type="dxa"/>
            <w:shd w:val="clear" w:color="auto" w:fill="E6E6E6"/>
            <w:vAlign w:val="center"/>
          </w:tcPr>
          <w:p>
            <w:pPr>
              <w:pStyle w:val="3"/>
              <w:spacing w:line="0" w:lineRule="atLeast"/>
              <w:ind w:firstLine="210" w:firstLineChars="100"/>
            </w:pPr>
            <w:r>
              <w:rPr>
                <w:rFonts w:hint="eastAsia"/>
              </w:rPr>
              <w:t>平均辐射温度</w:t>
            </w:r>
          </w:p>
          <w:p>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pStyle w:val="3"/>
              <w:ind w:firstLine="0" w:firstLineChars="0"/>
              <w:jc w:val="center"/>
            </w:pPr>
            <w:bookmarkStart w:id="49" w:name="温度"/>
            <w:r>
              <w:t>26.00</w:t>
            </w:r>
            <w:bookmarkEnd w:id="49"/>
          </w:p>
        </w:tc>
        <w:tc>
          <w:tcPr>
            <w:tcW w:w="1134" w:type="dxa"/>
          </w:tcPr>
          <w:p>
            <w:pPr>
              <w:pStyle w:val="3"/>
              <w:ind w:firstLine="0" w:firstLineChars="0"/>
              <w:jc w:val="center"/>
            </w:pPr>
            <w:bookmarkStart w:id="50" w:name="风速"/>
            <w:r>
              <w:rPr>
                <w:rFonts w:hint="eastAsia"/>
              </w:rPr>
              <w:t>0.10</w:t>
            </w:r>
            <w:bookmarkEnd w:id="50"/>
          </w:p>
        </w:tc>
        <w:tc>
          <w:tcPr>
            <w:tcW w:w="1134" w:type="dxa"/>
          </w:tcPr>
          <w:p>
            <w:pPr>
              <w:pStyle w:val="3"/>
              <w:ind w:left="-733" w:leftChars="-349" w:firstLine="942" w:firstLineChars="449"/>
              <w:jc w:val="center"/>
            </w:pPr>
            <w:bookmarkStart w:id="51" w:name="相对湿度"/>
            <w:r>
              <w:rPr>
                <w:rFonts w:hint="eastAsia"/>
              </w:rPr>
              <w:t>50.0</w:t>
            </w:r>
            <w:bookmarkEnd w:id="51"/>
          </w:p>
        </w:tc>
        <w:tc>
          <w:tcPr>
            <w:tcW w:w="1843" w:type="dxa"/>
          </w:tcPr>
          <w:p>
            <w:pPr>
              <w:pStyle w:val="3"/>
              <w:ind w:firstLine="0" w:firstLineChars="0"/>
              <w:jc w:val="center"/>
            </w:pPr>
            <w:bookmarkStart w:id="52" w:name="平均辐射温度"/>
            <w:r>
              <w:t>26.00</w:t>
            </w:r>
            <w:bookmarkEnd w:id="52"/>
          </w:p>
        </w:tc>
        <w:tc>
          <w:tcPr>
            <w:tcW w:w="1525" w:type="dxa"/>
          </w:tcPr>
          <w:p>
            <w:pPr>
              <w:pStyle w:val="3"/>
              <w:ind w:firstLine="0" w:firstLineChars="0"/>
              <w:jc w:val="center"/>
            </w:pPr>
            <w:bookmarkStart w:id="53" w:name="人体代谢"/>
            <w:r>
              <w:rPr>
                <w:rFonts w:hint="eastAsia"/>
              </w:rPr>
              <w:t>1.20</w:t>
            </w:r>
            <w:bookmarkEnd w:id="53"/>
          </w:p>
        </w:tc>
        <w:tc>
          <w:tcPr>
            <w:tcW w:w="1452" w:type="dxa"/>
          </w:tcPr>
          <w:p>
            <w:pPr>
              <w:pStyle w:val="3"/>
              <w:ind w:firstLine="0" w:firstLineChars="0"/>
              <w:jc w:val="center"/>
            </w:pPr>
            <w:bookmarkStart w:id="54" w:name="对外做功"/>
            <w:r>
              <w:rPr>
                <w:rFonts w:hint="eastAsia"/>
              </w:rPr>
              <w:t>0.00</w:t>
            </w:r>
            <w:bookmarkEnd w:id="54"/>
          </w:p>
        </w:tc>
        <w:tc>
          <w:tcPr>
            <w:tcW w:w="1701" w:type="dxa"/>
          </w:tcPr>
          <w:p>
            <w:pPr>
              <w:pStyle w:val="3"/>
              <w:ind w:firstLine="0" w:firstLineChars="0"/>
              <w:jc w:val="center"/>
            </w:pPr>
            <w:bookmarkStart w:id="55" w:name="服装热阻"/>
            <w:r>
              <w:rPr>
                <w:rFonts w:hint="eastAsia"/>
              </w:rPr>
              <w:t>0.60</w:t>
            </w:r>
            <w:bookmarkEnd w:id="55"/>
          </w:p>
        </w:tc>
      </w:tr>
      <w:bookmarkEnd w:id="48"/>
    </w:tbl>
    <w:p>
      <w:pPr>
        <w:pStyle w:val="3"/>
        <w:ind w:firstLine="0" w:firstLineChars="0"/>
      </w:pPr>
    </w:p>
    <w:p>
      <w:pPr>
        <w:pStyle w:val="2"/>
      </w:pPr>
      <w:bookmarkStart w:id="56" w:name="_Toc14077"/>
      <w:r>
        <w:rPr>
          <w:rFonts w:hint="eastAsia"/>
        </w:rPr>
        <w:t>计算结果</w:t>
      </w:r>
      <w:bookmarkEnd w:id="56"/>
    </w:p>
    <w:p>
      <w:pPr>
        <w:pStyle w:val="4"/>
      </w:pPr>
      <w:bookmarkStart w:id="57" w:name="_Toc19387"/>
      <w:r>
        <w:rPr>
          <w:rFonts w:hint="eastAsia"/>
        </w:rPr>
        <w:t>PMV-PPD指标</w:t>
      </w:r>
      <w:bookmarkEnd w:id="57"/>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pPr>
              <w:tabs>
                <w:tab w:val="left" w:pos="0"/>
              </w:tabs>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4"/>
      </w:pPr>
      <w:bookmarkStart w:id="58" w:name="达标统计表"/>
      <w:bookmarkEnd w:id="58"/>
      <w:bookmarkStart w:id="59" w:name="_Toc9980"/>
      <w:r>
        <w:rPr>
          <w:rFonts w:hint="eastAsia"/>
        </w:rPr>
        <w:t>达标情况</w:t>
      </w:r>
      <w:bookmarkEnd w:id="59"/>
    </w:p>
    <w:p>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0.51</w:t>
      </w:r>
      <w:bookmarkEnd w:id="60"/>
      <w:r>
        <w:rPr>
          <w:rFonts w:hint="eastAsia"/>
          <w:lang w:val="en-US"/>
        </w:rPr>
        <w:t>，PPD为</w:t>
      </w:r>
      <w:bookmarkStart w:id="61" w:name="PPD"/>
      <w:r>
        <w:rPr>
          <w:rFonts w:hint="eastAsia"/>
          <w:lang w:val="en-US"/>
        </w:rPr>
        <w:t>10.05</w:t>
      </w:r>
      <w:bookmarkEnd w:id="61"/>
      <w:r>
        <w:rPr>
          <w:rFonts w:hint="eastAsia"/>
          <w:lang w:val="en-US"/>
        </w:rPr>
        <w:t>%，本项目房间内热湿环境参数分布均匀，因此达标面积比例为100%。</w:t>
      </w:r>
    </w:p>
    <w:p>
      <w:pPr>
        <w:spacing w:line="360" w:lineRule="exact"/>
        <w:ind w:firstLine="213" w:firstLineChars="97"/>
        <w:rPr>
          <w:sz w:val="22"/>
          <w:szCs w:val="24"/>
        </w:rPr>
      </w:pPr>
    </w:p>
    <w:p>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pPr>
        <w:pStyle w:val="2"/>
      </w:pPr>
      <w:bookmarkStart w:id="62" w:name="_Toc44662482"/>
      <w:bookmarkStart w:id="63" w:name="_Toc24383"/>
      <w:r>
        <w:rPr>
          <w:rFonts w:hint="eastAsia"/>
        </w:rPr>
        <w:t>结论</w:t>
      </w:r>
      <w:bookmarkEnd w:id="62"/>
      <w:bookmarkEnd w:id="63"/>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zljZWVkYjE5NTBjNGM5Mzc5MTk2ZDgwNmYyZDUifQ=="/>
  </w:docVars>
  <w:rsids>
    <w:rsidRoot w:val="1E302AD0"/>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1E30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autoRedefine/>
    <w:unhideWhenUsed/>
    <w:qFormat/>
    <w:uiPriority w:val="99"/>
    <w:rPr>
      <w:color w:val="800080"/>
      <w:u w:val="single"/>
    </w:rPr>
  </w:style>
  <w:style w:type="character" w:styleId="25">
    <w:name w:val="Emphasis"/>
    <w:autoRedefine/>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autoRedefine/>
    <w:qFormat/>
    <w:uiPriority w:val="0"/>
    <w:rPr>
      <w:rFonts w:ascii="宋体" w:cs="Arial"/>
      <w:b/>
      <w:bCs/>
      <w:iCs/>
      <w:color w:val="000000"/>
      <w:sz w:val="24"/>
      <w:szCs w:val="24"/>
    </w:rPr>
  </w:style>
  <w:style w:type="character" w:customStyle="1" w:styleId="29">
    <w:name w:val="页脚 字符"/>
    <w:link w:val="17"/>
    <w:autoRedefine/>
    <w:qFormat/>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autoRedefine/>
    <w:qFormat/>
    <w:uiPriority w:val="0"/>
    <w:rPr>
      <w:rFonts w:ascii="宋体"/>
      <w:sz w:val="21"/>
    </w:rPr>
  </w:style>
  <w:style w:type="paragraph" w:styleId="32">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autoRedefine/>
    <w:qFormat/>
    <w:uiPriority w:val="0"/>
    <w:rPr>
      <w:rFonts w:ascii="宋体" w:hAnsi="宋体" w:cs="Arial"/>
      <w:b/>
      <w:bCs/>
      <w:sz w:val="21"/>
      <w:szCs w:val="21"/>
    </w:rPr>
  </w:style>
  <w:style w:type="character" w:customStyle="1" w:styleId="34">
    <w:name w:val="批注框文本 字符"/>
    <w:link w:val="16"/>
    <w:autoRedefine/>
    <w:qFormat/>
    <w:uiPriority w:val="0"/>
    <w:rPr>
      <w:sz w:val="18"/>
      <w:szCs w:val="18"/>
      <w:lang w:val="en-GB"/>
    </w:rPr>
  </w:style>
  <w:style w:type="character" w:styleId="35">
    <w:name w:val="Placeholder Text"/>
    <w:autoRedefine/>
    <w:semiHidden/>
    <w:qFormat/>
    <w:uiPriority w:val="99"/>
    <w:rPr>
      <w:color w:val="808080"/>
    </w:rPr>
  </w:style>
  <w:style w:type="paragraph" w:styleId="36">
    <w:name w:val="No Spacing"/>
    <w:autoRedefine/>
    <w:qFormat/>
    <w:uiPriority w:val="1"/>
    <w:rPr>
      <w:rFonts w:ascii="Times New Roman" w:hAnsi="Times New Roman" w:eastAsia="宋体" w:cs="Times New Roman"/>
      <w:sz w:val="21"/>
      <w:lang w:val="en-GB" w:eastAsia="zh-CN" w:bidi="ar-SA"/>
    </w:rPr>
  </w:style>
  <w:style w:type="character" w:customStyle="1" w:styleId="37">
    <w:name w:val="标题 4 字符"/>
    <w:link w:val="6"/>
    <w:autoRedefine/>
    <w:qFormat/>
    <w:uiPriority w:val="0"/>
    <w:rPr>
      <w:b/>
      <w:bCs/>
      <w:sz w:val="21"/>
      <w:szCs w:val="28"/>
      <w:lang w:val="en-GB"/>
    </w:rPr>
  </w:style>
  <w:style w:type="character" w:customStyle="1" w:styleId="38">
    <w:name w:val="标题 5 字符"/>
    <w:link w:val="7"/>
    <w:autoRedefine/>
    <w:qFormat/>
    <w:uiPriority w:val="0"/>
    <w:rPr>
      <w:b/>
      <w:bCs/>
      <w:iCs/>
      <w:sz w:val="21"/>
      <w:szCs w:val="26"/>
      <w:lang w:val="en-GB"/>
    </w:rPr>
  </w:style>
  <w:style w:type="character" w:customStyle="1" w:styleId="39">
    <w:name w:val="标题 6 字符"/>
    <w:link w:val="8"/>
    <w:autoRedefine/>
    <w:qFormat/>
    <w:uiPriority w:val="0"/>
    <w:rPr>
      <w:b/>
      <w:bCs/>
      <w:sz w:val="21"/>
      <w:szCs w:val="22"/>
      <w:lang w:val="en-GB"/>
    </w:rPr>
  </w:style>
  <w:style w:type="character" w:customStyle="1" w:styleId="40">
    <w:name w:val="标题 7 字符"/>
    <w:link w:val="9"/>
    <w:autoRedefine/>
    <w:qFormat/>
    <w:uiPriority w:val="0"/>
    <w:rPr>
      <w:sz w:val="24"/>
      <w:szCs w:val="24"/>
      <w:lang w:val="en-GB"/>
    </w:rPr>
  </w:style>
  <w:style w:type="character" w:customStyle="1" w:styleId="41">
    <w:name w:val="标题 8 字符"/>
    <w:link w:val="10"/>
    <w:autoRedefine/>
    <w:qFormat/>
    <w:uiPriority w:val="0"/>
    <w:rPr>
      <w:i/>
      <w:iCs/>
      <w:sz w:val="24"/>
      <w:szCs w:val="24"/>
      <w:lang w:val="en-GB"/>
    </w:rPr>
  </w:style>
  <w:style w:type="character" w:customStyle="1" w:styleId="42">
    <w:name w:val="标题 9 字符"/>
    <w:link w:val="11"/>
    <w:autoRedefine/>
    <w:qFormat/>
    <w:uiPriority w:val="0"/>
    <w:rPr>
      <w:rFonts w:ascii="Arial" w:hAnsi="Arial" w:cs="Arial"/>
      <w:sz w:val="22"/>
      <w:szCs w:val="22"/>
      <w:lang w:val="en-GB"/>
    </w:rPr>
  </w:style>
  <w:style w:type="character" w:customStyle="1" w:styleId="43">
    <w:name w:val="页眉 字符"/>
    <w:link w:val="18"/>
    <w:autoRedefine/>
    <w:qFormat/>
    <w:uiPriority w:val="0"/>
    <w:rPr>
      <w:sz w:val="21"/>
      <w:szCs w:val="18"/>
      <w:lang w:val="en-GB"/>
    </w:rPr>
  </w:style>
  <w:style w:type="character" w:customStyle="1" w:styleId="44">
    <w:name w:val="文档结构图 字符"/>
    <w:link w:val="14"/>
    <w:autoRedefine/>
    <w:semiHidden/>
    <w:qFormat/>
    <w:uiPriority w:val="0"/>
    <w:rPr>
      <w:sz w:val="21"/>
      <w:shd w:val="clear" w:color="auto" w:fill="000080"/>
      <w:lang w:val="en-GB"/>
    </w:rPr>
  </w:style>
  <w:style w:type="paragraph" w:customStyle="1" w:styleId="45">
    <w:name w:val="TOC Heading"/>
    <w:basedOn w:val="2"/>
    <w:next w:val="1"/>
    <w:autoRedefine/>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tmp4.dotx</Template>
  <Pages>8</Pages>
  <Words>1726</Words>
  <Characters>2226</Characters>
  <Lines>23</Lines>
  <Paragraphs>6</Paragraphs>
  <TotalTime>0</TotalTime>
  <ScaleCrop>false</ScaleCrop>
  <LinksUpToDate>false</LinksUpToDate>
  <CharactersWithSpaces>2350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2024-12-20T09:14:00Z</dcterms:created>
  <dc:creator>マッシュ・ギレライト</dc:creator>
  <cp:lastModifiedBy>マッシュ・ギレライト</cp:lastModifiedBy>
  <dcterms:modified xsi:type="dcterms:W3CDTF">2024-12-20T09:14:30Z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4DF25BA7D8684C8F9223685100461A35_11</vt:lpwstr>
  </property>
  <property fmtid="{D5CDD505-2E9C-101B-9397-08002B2CF9AE}" pid="3" name="KSOProductBuildVer">
    <vt:lpwstr>2052-12.1.0.16120</vt:lpwstr>
  </property>
</Properties>
</file>