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53D6E"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可再生能源设计方案</w:t>
      </w:r>
    </w:p>
    <w:p w14:paraId="0A84D036">
      <w:pPr>
        <w:rPr>
          <w:rFonts w:hint="eastAsia" w:ascii="宋体" w:hAnsi="宋体" w:eastAsia="宋体" w:cs="宋体"/>
          <w:sz w:val="28"/>
          <w:szCs w:val="28"/>
        </w:rPr>
      </w:pPr>
    </w:p>
    <w:p w14:paraId="5E291E9D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本方案旨在为幼儿园构建一套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经济且</w:t>
      </w:r>
      <w:r>
        <w:rPr>
          <w:rFonts w:hint="eastAsia" w:ascii="宋体" w:hAnsi="宋体" w:eastAsia="宋体" w:cs="宋体"/>
          <w:sz w:val="28"/>
          <w:szCs w:val="28"/>
        </w:rPr>
        <w:t>可持续的能源系统，融合光伏发电、碳动力跑道与动能回收装置，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能够最大程度的</w:t>
      </w:r>
      <w:r>
        <w:rPr>
          <w:rFonts w:hint="eastAsia" w:ascii="宋体" w:hAnsi="宋体" w:eastAsia="宋体" w:cs="宋体"/>
          <w:sz w:val="28"/>
          <w:szCs w:val="28"/>
        </w:rPr>
        <w:t>实现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可再生能源的利用，减少能源的浪费。</w:t>
      </w:r>
    </w:p>
    <w:p w14:paraId="79FC956B">
      <w:pPr>
        <w:rPr>
          <w:rFonts w:hint="eastAsia" w:ascii="宋体" w:hAnsi="宋体" w:eastAsia="宋体" w:cs="宋体"/>
          <w:sz w:val="28"/>
          <w:szCs w:val="28"/>
        </w:rPr>
      </w:pPr>
    </w:p>
    <w:p w14:paraId="6D1AA47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一、光伏发电系统</w:t>
      </w:r>
    </w:p>
    <w:p w14:paraId="7A259EE4">
      <w:pPr>
        <w:rPr>
          <w:rFonts w:hint="eastAsia" w:ascii="宋体" w:hAnsi="宋体" w:eastAsia="宋体" w:cs="宋体"/>
          <w:sz w:val="28"/>
          <w:szCs w:val="28"/>
        </w:rPr>
      </w:pPr>
    </w:p>
    <w:p w14:paraId="559413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光伏板布局与选型：于幼儿园建筑屋顶及朝南向阳的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绿化连廊顶部</w:t>
      </w:r>
      <w:r>
        <w:rPr>
          <w:rFonts w:hint="eastAsia" w:ascii="宋体" w:hAnsi="宋体" w:eastAsia="宋体" w:cs="宋体"/>
          <w:sz w:val="28"/>
          <w:szCs w:val="28"/>
        </w:rPr>
        <w:t>铺设高效单晶硅光伏板。依据场地面积与用电需求，经精准测算确定安装数量与排列方式，确保最大程度接收阳光照射。所选光伏板具备高转换效率、稳定性强及寿命长等特性，能在不同光照条件下高效产出电能。</w:t>
      </w:r>
    </w:p>
    <w:tbl>
      <w:tblPr>
        <w:tblStyle w:val="4"/>
        <w:tblW w:w="92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20"/>
        <w:gridCol w:w="2321"/>
        <w:gridCol w:w="2321"/>
      </w:tblGrid>
      <w:tr w14:paraId="32F9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2" w:type="dxa"/>
            <w:gridSpan w:val="4"/>
            <w:tcBorders>
              <w:bottom w:val="single" w:color="FDD960" w:themeColor="accent3" w:themeTint="99" w:sz="4" w:space="0"/>
              <w:insideH w:val="single" w:sz="4" w:space="0"/>
            </w:tcBorders>
            <w:shd w:val="clear" w:color="auto" w:fill="F57C00"/>
          </w:tcPr>
          <w:p w14:paraId="57D8CB3C">
            <w:pPr>
              <w:jc w:val="center"/>
              <w:rPr>
                <w:b w:val="0"/>
                <w:bCs w:val="0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bookmarkStart w:id="0" w:name="光伏系统信息表" w:colFirst="0" w:colLast="2"/>
            <w:r>
              <w:rPr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光伏系统信息</w:t>
            </w:r>
          </w:p>
        </w:tc>
      </w:tr>
      <w:tr w14:paraId="5BEEA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shd w:val="clear" w:color="auto" w:fill="FEF2CA" w:themeFill="accent3" w:themeFillTint="33"/>
          </w:tcPr>
          <w:p w14:paraId="2E790157">
            <w:pPr>
              <w:rPr>
                <w:b/>
                <w:bCs/>
              </w:rPr>
            </w:pPr>
            <w:r>
              <w:rPr>
                <w:b w:val="0"/>
                <w:bCs w:val="0"/>
              </w:rPr>
              <w:t>组件类型</w:t>
            </w:r>
          </w:p>
        </w:tc>
        <w:tc>
          <w:tcPr>
            <w:tcW w:w="2320" w:type="dxa"/>
            <w:shd w:val="clear" w:color="auto" w:fill="FEF2CA" w:themeFill="accent3" w:themeFillTint="33"/>
          </w:tcPr>
          <w:p w14:paraId="73354490">
            <w:r>
              <w:t>单晶硅</w:t>
            </w:r>
          </w:p>
        </w:tc>
        <w:tc>
          <w:tcPr>
            <w:tcW w:w="2321" w:type="dxa"/>
            <w:shd w:val="clear" w:color="auto" w:fill="FEF2CA" w:themeFill="accent3" w:themeFillTint="33"/>
          </w:tcPr>
          <w:p w14:paraId="5D943FF9">
            <w:r>
              <w:t>组件数量</w:t>
            </w:r>
          </w:p>
        </w:tc>
        <w:tc>
          <w:tcPr>
            <w:tcW w:w="2321" w:type="dxa"/>
            <w:shd w:val="clear" w:color="auto" w:fill="FEF2CA" w:themeFill="accent3" w:themeFillTint="33"/>
          </w:tcPr>
          <w:p w14:paraId="1B671072">
            <w:r>
              <w:t>128</w:t>
            </w:r>
          </w:p>
        </w:tc>
      </w:tr>
      <w:tr w14:paraId="1A24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 w14:paraId="6DD078F3">
            <w:pPr>
              <w:rPr>
                <w:b/>
                <w:bCs/>
              </w:rPr>
            </w:pPr>
            <w:r>
              <w:rPr>
                <w:b w:val="0"/>
                <w:bCs w:val="0"/>
              </w:rPr>
              <w:t>总装机量</w:t>
            </w:r>
          </w:p>
        </w:tc>
        <w:tc>
          <w:tcPr>
            <w:tcW w:w="2320" w:type="dxa"/>
          </w:tcPr>
          <w:p w14:paraId="71BD0699">
            <w:r>
              <w:t>70.4kW</w:t>
            </w:r>
          </w:p>
        </w:tc>
        <w:tc>
          <w:tcPr>
            <w:tcW w:w="2321" w:type="dxa"/>
          </w:tcPr>
          <w:p w14:paraId="7BB31364">
            <w:r>
              <w:t>组件安装方式</w:t>
            </w:r>
          </w:p>
        </w:tc>
        <w:tc>
          <w:tcPr>
            <w:tcW w:w="2321" w:type="dxa"/>
          </w:tcPr>
          <w:p w14:paraId="1FFBCE41">
            <w:r>
              <w:t>固定集成</w:t>
            </w:r>
          </w:p>
        </w:tc>
      </w:tr>
      <w:tr w14:paraId="359D2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shd w:val="clear" w:color="auto" w:fill="FEF2CA" w:themeFill="accent3" w:themeFillTint="33"/>
          </w:tcPr>
          <w:p w14:paraId="7DF30193">
            <w:pPr>
              <w:rPr>
                <w:b/>
                <w:bCs/>
              </w:rPr>
            </w:pPr>
            <w:r>
              <w:rPr>
                <w:b w:val="0"/>
                <w:bCs w:val="0"/>
              </w:rPr>
              <w:t>组件面积</w:t>
            </w:r>
          </w:p>
        </w:tc>
        <w:tc>
          <w:tcPr>
            <w:tcW w:w="2320" w:type="dxa"/>
            <w:shd w:val="clear" w:color="auto" w:fill="FEF2CA" w:themeFill="accent3" w:themeFillTint="33"/>
          </w:tcPr>
          <w:p w14:paraId="6E905D8F">
            <w:r>
              <w:t>210㎡</w:t>
            </w:r>
          </w:p>
        </w:tc>
        <w:tc>
          <w:tcPr>
            <w:tcW w:w="2321" w:type="dxa"/>
            <w:shd w:val="clear" w:color="auto" w:fill="FEF2CA" w:themeFill="accent3" w:themeFillTint="33"/>
          </w:tcPr>
          <w:p w14:paraId="33622C37">
            <w:r>
              <w:t>逆变器效率</w:t>
            </w:r>
          </w:p>
        </w:tc>
        <w:tc>
          <w:tcPr>
            <w:tcW w:w="2321" w:type="dxa"/>
            <w:shd w:val="clear" w:color="auto" w:fill="FEF2CA" w:themeFill="accent3" w:themeFillTint="33"/>
          </w:tcPr>
          <w:p w14:paraId="5846F7CC">
            <w:r>
              <w:t>99%</w:t>
            </w:r>
          </w:p>
        </w:tc>
      </w:tr>
      <w:tr w14:paraId="5EAAB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 w14:paraId="681473A6">
            <w:pPr>
              <w:rPr>
                <w:b/>
                <w:bCs/>
              </w:rPr>
            </w:pPr>
            <w:r>
              <w:rPr>
                <w:b w:val="0"/>
                <w:bCs w:val="0"/>
              </w:rPr>
              <w:t>逆变器功率</w:t>
            </w:r>
          </w:p>
        </w:tc>
        <w:tc>
          <w:tcPr>
            <w:tcW w:w="2320" w:type="dxa"/>
          </w:tcPr>
          <w:p w14:paraId="73A582DD">
            <w:r>
              <w:t>25.5kW</w:t>
            </w:r>
          </w:p>
        </w:tc>
        <w:tc>
          <w:tcPr>
            <w:tcW w:w="2321" w:type="dxa"/>
          </w:tcPr>
          <w:p w14:paraId="2F9A5724">
            <w:r>
              <w:t>线路损耗效率</w:t>
            </w:r>
          </w:p>
        </w:tc>
        <w:tc>
          <w:tcPr>
            <w:tcW w:w="2321" w:type="dxa"/>
          </w:tcPr>
          <w:p w14:paraId="4F0DC77C">
            <w:r>
              <w:t>1%</w:t>
            </w:r>
          </w:p>
        </w:tc>
      </w:tr>
      <w:tr w14:paraId="5A62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shd w:val="clear" w:color="auto" w:fill="FEF2CA" w:themeFill="accent3" w:themeFillTint="33"/>
          </w:tcPr>
          <w:p w14:paraId="57426448">
            <w:pPr>
              <w:rPr>
                <w:b/>
                <w:bCs/>
              </w:rPr>
            </w:pPr>
            <w:r>
              <w:rPr>
                <w:b w:val="0"/>
                <w:bCs w:val="0"/>
              </w:rPr>
              <w:t>材料表面污染效率</w:t>
            </w:r>
          </w:p>
        </w:tc>
        <w:tc>
          <w:tcPr>
            <w:tcW w:w="2320" w:type="dxa"/>
            <w:shd w:val="clear" w:color="auto" w:fill="FEF2CA" w:themeFill="accent3" w:themeFillTint="33"/>
          </w:tcPr>
          <w:p w14:paraId="290E0350">
            <w:r>
              <w:t>1%</w:t>
            </w:r>
          </w:p>
        </w:tc>
        <w:tc>
          <w:tcPr>
            <w:tcW w:w="2321" w:type="dxa"/>
            <w:shd w:val="clear" w:color="auto" w:fill="FEF2CA" w:themeFill="accent3" w:themeFillTint="33"/>
          </w:tcPr>
          <w:p w14:paraId="19A1CFC8">
            <w:r>
              <w:t>修正系数</w:t>
            </w:r>
          </w:p>
        </w:tc>
        <w:tc>
          <w:tcPr>
            <w:tcW w:w="2321" w:type="dxa"/>
            <w:shd w:val="clear" w:color="auto" w:fill="FEF2CA" w:themeFill="accent3" w:themeFillTint="33"/>
          </w:tcPr>
          <w:p w14:paraId="6FACFC94">
            <w:r>
              <w:t>1%</w:t>
            </w:r>
          </w:p>
        </w:tc>
      </w:tr>
      <w:tr w14:paraId="1AAE3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0" w:type="dxa"/>
            <w:vAlign w:val="center"/>
          </w:tcPr>
          <w:p w14:paraId="13C267AD">
            <w:pPr>
              <w:jc w:val="both"/>
              <w:rPr>
                <w:b w:val="0"/>
                <w:bCs w:val="0"/>
              </w:rPr>
            </w:pPr>
            <w:r>
              <w:rPr>
                <w:b/>
                <w:bCs/>
                <w:sz w:val="24"/>
              </w:rPr>
              <w:t>系统综合效率</w:t>
            </w:r>
          </w:p>
        </w:tc>
        <w:tc>
          <w:tcPr>
            <w:tcW w:w="6962" w:type="dxa"/>
            <w:gridSpan w:val="3"/>
            <w:shd w:val="clear" w:color="auto" w:fill="E65100"/>
            <w:vAlign w:val="center"/>
          </w:tcPr>
          <w:p w14:paraId="241026D3">
            <w:pPr>
              <w:jc w:val="center"/>
              <w:rPr>
                <w:b/>
                <w:color w:val="FFFFFF" w:themeColor="background1"/>
                <w:sz w:val="24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36"/>
                <w14:textFill>
                  <w14:solidFill>
                    <w14:schemeClr w14:val="bg1"/>
                  </w14:solidFill>
                </w14:textFill>
              </w:rPr>
              <w:t>82.3%</w:t>
            </w:r>
          </w:p>
        </w:tc>
      </w:tr>
      <w:bookmarkEnd w:id="0"/>
    </w:tbl>
    <w:p w14:paraId="032697ED">
      <w:pPr>
        <w:rPr>
          <w:rFonts w:hint="eastAsia" w:ascii="宋体" w:hAnsi="宋体" w:eastAsia="宋体" w:cs="宋体"/>
          <w:sz w:val="28"/>
          <w:szCs w:val="28"/>
        </w:rPr>
      </w:pPr>
    </w:p>
    <w:p w14:paraId="39C564CF">
      <w:pPr>
        <w:rPr>
          <w:rFonts w:hint="eastAsia" w:ascii="宋体" w:hAnsi="宋体" w:eastAsia="宋体" w:cs="宋体"/>
          <w:sz w:val="28"/>
          <w:szCs w:val="28"/>
        </w:rPr>
      </w:pPr>
    </w:p>
    <w:p w14:paraId="6C93309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电能存储与管理：配套安装智能型蓄电池组，存储光伏板产生的多余电能，以便在夜间或阴雨天等光照不足时段为幼儿园持续供电。同时，引入先进的电力管理系统，实时监测与调控电能的生成、存储与分配，保障电力供应稳定可靠。该系统可依用电负荷优先级自动分配电能，优先满足照明、教学设备等关键用电需求。</w:t>
      </w:r>
    </w:p>
    <w:p w14:paraId="643F628B">
      <w:pPr>
        <w:rPr>
          <w:rFonts w:hint="eastAsia" w:ascii="宋体" w:hAnsi="宋体" w:eastAsia="宋体" w:cs="宋体"/>
          <w:sz w:val="28"/>
          <w:szCs w:val="28"/>
        </w:rPr>
      </w:pPr>
    </w:p>
    <w:p w14:paraId="1DA97C8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与现有电网的衔接：设计双向电表与并网逆变器，实现光伏发电系统与当地电网的无缝对接。光照充沛时，优先使用光伏电力，余电并入电网获取经济收益；光照欠佳时，自动切换至电网供电，确保幼儿园电力供应不间断。此并网模式提升了能源利用的灵活性与经济性。</w:t>
      </w:r>
    </w:p>
    <w:p w14:paraId="74751A57">
      <w:pPr>
        <w:rPr>
          <w:rFonts w:hint="eastAsia" w:ascii="宋体" w:hAnsi="宋体" w:eastAsia="宋体" w:cs="宋体"/>
          <w:sz w:val="28"/>
          <w:szCs w:val="28"/>
        </w:rPr>
      </w:pPr>
    </w:p>
    <w:p w14:paraId="6578EAA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二、碳动力跑道</w:t>
      </w:r>
    </w:p>
    <w:p w14:paraId="315D7A31">
      <w:pPr>
        <w:rPr>
          <w:rFonts w:hint="eastAsia" w:ascii="宋体" w:hAnsi="宋体" w:eastAsia="宋体" w:cs="宋体"/>
          <w:sz w:val="28"/>
          <w:szCs w:val="28"/>
        </w:rPr>
      </w:pPr>
    </w:p>
    <w:p w14:paraId="3DDAD8F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工作原理与技术构成：碳动力跑道采用压电感应技术与电磁感应原理，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跑道材料使用特殊的压电复合材料，跑道表面在承受孩子们奔跑、跳跃时产生的压力和冲击力时，内部的压电材料会发生形变并产生微弱的电能，</w:t>
      </w:r>
      <w:r>
        <w:rPr>
          <w:rFonts w:hint="eastAsia" w:ascii="宋体" w:hAnsi="宋体" w:eastAsia="宋体" w:cs="宋体"/>
          <w:sz w:val="28"/>
          <w:szCs w:val="28"/>
        </w:rPr>
        <w:t>同时，内置的电磁感应线圈在跑步过程中切割磁力线产生电能。</w:t>
      </w:r>
    </w:p>
    <w:p w14:paraId="7D364E13">
      <w:pPr>
        <w:rPr>
          <w:rFonts w:hint="eastAsia" w:ascii="宋体" w:hAnsi="宋体" w:eastAsia="宋体" w:cs="宋体"/>
          <w:sz w:val="28"/>
          <w:szCs w:val="28"/>
        </w:rPr>
      </w:pPr>
    </w:p>
    <w:p w14:paraId="26E566C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2. 能量转换与存储效率提升：选用高灵敏度压电材料与优质电磁感应组件，优化跑道结构设计与能量转换电路。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生的电能通过隐藏在跑道边缘的导线收集起来，传输至跑道旁的能量转换站。在能量转换站内，经过一系列的整流、升压和稳压处理，将微弱的交流电转换为可供幼儿园使用的直流电。为了提升能量转换效率，采用先进的电力电子技术和智能控制算法，根据跑道的使用频率和负载情况自动调整转换参数。存储设备选用高性能的锂离子电池，具备快速充电、长寿命和高能量密度等特点，能够有效地存储碳动力跑道产生的电能，并在需要时为周边的小型设备，如操场的照明设施等提供电力支持。</w:t>
      </w:r>
    </w:p>
    <w:p w14:paraId="31C7B668">
      <w:pPr>
        <w:rPr>
          <w:rFonts w:hint="eastAsia" w:ascii="宋体" w:hAnsi="宋体" w:eastAsia="宋体" w:cs="宋体"/>
          <w:sz w:val="28"/>
          <w:szCs w:val="28"/>
        </w:rPr>
      </w:pPr>
    </w:p>
    <w:p w14:paraId="68EED14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三、动能回收装置</w:t>
      </w:r>
    </w:p>
    <w:p w14:paraId="176AFB19">
      <w:pPr>
        <w:rPr>
          <w:rFonts w:hint="eastAsia" w:ascii="宋体" w:hAnsi="宋体" w:eastAsia="宋体" w:cs="宋体"/>
          <w:sz w:val="28"/>
          <w:szCs w:val="28"/>
        </w:rPr>
      </w:pPr>
    </w:p>
    <w:p w14:paraId="24F497C6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 分布与应用场景：在幼儿园滑梯、秋千等游乐设施，广泛安装动能回收装置。这些装置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利用机械传动和电磁感应原理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如小型发电机、齿轮传动与液压蓄能等，将幼儿日常活动中的各种动能转化为电能或势能存储起来。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楼梯扶手、教室门等人员活动频繁区域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装基于液压和弹簧储能的动能回收装置，每当门被打开或关闭时，门轴的转动能量被捕获并转换为势能储存起来，经过能量转换装置变为电能。这些分散在幼儿园各个角落的动能回收装置所产生的电能，通过统一的电力传输网络汇聚到总控室，经过集中处理和调配后，用于补充幼儿园的整体电力需求，如为走廊照明、卫生间电器等供电。</w:t>
      </w:r>
    </w:p>
    <w:p w14:paraId="39C32158">
      <w:pPr>
        <w:rPr>
          <w:rFonts w:hint="eastAsia" w:ascii="宋体" w:hAnsi="宋体" w:eastAsia="宋体" w:cs="宋体"/>
          <w:sz w:val="28"/>
          <w:szCs w:val="28"/>
        </w:rPr>
      </w:pPr>
    </w:p>
    <w:p w14:paraId="684F629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系统集成与协同工作：构建统一的动能回收管理系统，将各区域装置产生的能量进行集中收集、转换与存储。该系统与光伏发电系统、碳动力跑道的储能装置相连，实现多种可再生能源的协同互补与综合利用。例如，在光照不足且幼儿运动较少的时段，可调用动能回收装置存储的能量补充电力缺口，确保幼儿园能源供应的稳定性与可靠性。</w:t>
      </w:r>
    </w:p>
    <w:p w14:paraId="453EA946">
      <w:pPr>
        <w:rPr>
          <w:rFonts w:hint="eastAsia" w:ascii="宋体" w:hAnsi="宋体" w:eastAsia="宋体" w:cs="宋体"/>
          <w:sz w:val="28"/>
          <w:szCs w:val="28"/>
        </w:rPr>
      </w:pPr>
    </w:p>
    <w:p w14:paraId="7473837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通过以上光伏发电、碳动力跑道与动能回收装置的有机结合与协同运作，幼儿园的能源系统将实现高效、可持续的能源再生与利用，为幼儿创造一个绿色、环保、充满科技魅力的成长环境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37D33"/>
    <w:rsid w:val="17137D33"/>
    <w:rsid w:val="6BC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清单表 1 浅色 - 着色 31"/>
    <w:basedOn w:val="2"/>
    <w:qFormat/>
    <w:uiPriority w:val="46"/>
    <w:tblStylePr w:type="firstRow">
      <w:rPr>
        <w:b/>
        <w:bCs/>
      </w:rPr>
      <w:tcPr>
        <w:tcBorders>
          <w:bottom w:val="single" w:color="FDD960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DD96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</w:style>
  <w:style w:type="table" w:customStyle="1" w:styleId="5">
    <w:name w:val="无格式表格 21"/>
    <w:basedOn w:val="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1677</Words>
  <Characters>1707</Characters>
  <Lines>0</Lines>
  <Paragraphs>0</Paragraphs>
  <TotalTime>20</TotalTime>
  <ScaleCrop>false</ScaleCrop>
  <LinksUpToDate>false</LinksUpToDate>
  <CharactersWithSpaces>1714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2024-12-24T04:57:00Z</dcterms:created>
  <dc:creator>杨一成</dc:creator>
  <cp:lastModifiedBy>杨一成</cp:lastModifiedBy>
  <dcterms:modified xsi:type="dcterms:W3CDTF">2024-12-24T06:55:16Z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022E4C2149CF42D5BEF9643FFD5D942E_11</vt:lpwstr>
  </property>
</Properties>
</file>