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DDF3D">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2A87B308">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22E8F870">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3BF8F8D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C403C72">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3B5AECFA">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33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8E390F3">
            <w:pPr>
              <w:rPr>
                <w:rFonts w:ascii="Times New Roman" w:hAnsi="Times New Roman" w:eastAsia="宋体" w:cs="Times New Roman"/>
                <w:kern w:val="0"/>
                <w:sz w:val="20"/>
                <w:szCs w:val="21"/>
              </w:rPr>
            </w:pPr>
            <w:r>
              <w:rPr>
                <w:rFonts w:hint="eastAsia" w:ascii="宋体" w:hAnsi="宋体" w:eastAsia="宋体" w:cs="宋体"/>
                <w:i w:val="0"/>
                <w:iCs w:val="0"/>
                <w:caps w:val="0"/>
                <w:color w:val="000000"/>
                <w:spacing w:val="0"/>
                <w:sz w:val="16"/>
                <w:szCs w:val="16"/>
              </w:rPr>
              <w:t>1. 交通流线设计要点</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安全动线：站点与幼儿园入口间设置全封闭或半封闭步行通道，宽度≥2米，避免机动车混行；路口增设彩色斑马线（配LED警示灯）、限速标识（≤20km/h）及防滑地砖。</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缓冲区设置：幼儿园主入口外延10-20米范围内规划接送集散区，配备雨棚、等候座椅及电子班牌（实时显示接驳车动态）。</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智慧监管系统：通道沿线安装AI行为识别摄像头，对儿童奔跑、逆行等危险行为实时预警，数据直连园方安保中心。</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2. 专用接驳车配置标准</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车辆规范：采用国标校车（黄牌专用号段），配置360°环视监控、酒精锁、防遗忘装置，座位配备四点式安全带及儿童身高适配扶手。</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线路规划：接驳半径≤3公里，设置环形路线覆盖主要居住区，每站点间距≤500米，高峰期发车间隔≤10分钟（配合家长GPS追踪APP）。</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防疫安全：配备车载空气消杀系统，座椅抗菌率达99%，设置隔离应急舱</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3. 多模态衔接方案</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地铁接驳：在站点D出口设置儿童优先通道，衔接接驳车专用泊位（配备升降平台供婴儿车使用）。</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公交融合：协调公交公司开通定制线路（如G字头幼儿园专线），运营时段匹配7:30-8:30/16:00-17:30，使用低地板车型（踏步高度≤35cm）。</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4. 管理机制</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实施错峰接送：按年龄段分时分级（小班±15分钟浮动），结合电子围栏技术实现车辆到站自动提醒。</w:t>
            </w:r>
            <w:r>
              <w:rPr>
                <w:rFonts w:hint="eastAsia" w:ascii="宋体" w:hAnsi="宋体" w:eastAsia="宋体" w:cs="宋体"/>
                <w:i w:val="0"/>
                <w:iCs w:val="0"/>
                <w:caps w:val="0"/>
                <w:color w:val="000000"/>
                <w:spacing w:val="0"/>
                <w:sz w:val="16"/>
                <w:szCs w:val="16"/>
              </w:rPr>
              <w:br w:type="textWrapping"/>
            </w:r>
            <w:r>
              <w:rPr>
                <w:rFonts w:hint="eastAsia" w:ascii="宋体" w:hAnsi="宋体" w:eastAsia="宋体" w:cs="宋体"/>
                <w:i w:val="0"/>
                <w:iCs w:val="0"/>
                <w:caps w:val="0"/>
                <w:color w:val="000000"/>
                <w:spacing w:val="0"/>
                <w:sz w:val="16"/>
                <w:szCs w:val="16"/>
              </w:rPr>
              <w:t>- 建立安全信用体系：家长/司机违规行为（如滞站超时）纳入城市交通信用管理平台。</w:t>
            </w:r>
          </w:p>
        </w:tc>
      </w:tr>
    </w:tbl>
    <w:p w14:paraId="4AA0177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031C092">
      <w:pPr>
        <w:rPr>
          <w:rFonts w:ascii="Times New Roman" w:hAnsi="Times New Roman" w:eastAsia="宋体" w:cs="Times New Roman"/>
          <w:szCs w:val="21"/>
        </w:rPr>
      </w:pPr>
      <w:r>
        <w:rPr>
          <w:rFonts w:ascii="Times New Roman" w:hAnsi="Times New Roman" w:eastAsia="宋体" w:cs="Times New Roman"/>
          <w:szCs w:val="21"/>
        </w:rPr>
        <w:t>提交材料及要求：</w:t>
      </w:r>
    </w:p>
    <w:p w14:paraId="6157F0D5">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7B5E6937">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2CBED532">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00181CFD">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64D3EC83">
      <w:pPr>
        <w:ind w:left="210" w:hanging="210" w:hangingChars="100"/>
      </w:pPr>
    </w:p>
    <w:p w14:paraId="5D51B93E">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A6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54D3273">
            <w:pPr>
              <w:rPr>
                <w:rFonts w:ascii="Times New Roman" w:hAnsi="Times New Roman" w:eastAsia="宋体" w:cs="Times New Roman"/>
                <w:kern w:val="0"/>
                <w:sz w:val="20"/>
                <w:szCs w:val="21"/>
              </w:rPr>
            </w:pPr>
          </w:p>
        </w:tc>
      </w:tr>
    </w:tbl>
    <w:p w14:paraId="028BE5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67B9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250</Words>
  <Characters>260</Characters>
  <Lines>2</Lines>
  <Paragraphs>1</Paragraphs>
  <TotalTime>0</TotalTime>
  <ScaleCrop>false</ScaleCrop>
  <LinksUpToDate>false</LinksUpToDate>
  <CharactersWithSpaces>271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蘭</cp:lastModifiedBy>
  <dcterms:modified xsi:type="dcterms:W3CDTF">2025-03-14T15:01:35Z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eyJoZGlkIjoiMmI4NmI4YzQ1MGNkMTU0ZTBjMTgwYjdkYWY1MWFiY2YiLCJ1c2VySWQiOiIxMTU2ODQwMjk2In0=</vt:lpwstr>
  </property>
  <property fmtid="{D5CDD505-2E9C-101B-9397-08002B2CF9AE}" pid="3" name="KSOProductBuildVer">
    <vt:lpwstr>2052-12.1.0.20305</vt:lpwstr>
  </property>
  <property fmtid="{D5CDD505-2E9C-101B-9397-08002B2CF9AE}" pid="4" name="ICV">
    <vt:lpwstr>B18C43BA31E340EEA6053D72B56D15B2_12</vt:lpwstr>
  </property>
</Properties>
</file>