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E40AF">
      <w:pPr>
        <w:pStyle w:val="3"/>
        <w:rPr>
          <w:sz w:val="24"/>
          <w:szCs w:val="40"/>
        </w:rPr>
      </w:pPr>
      <w:r>
        <w:rPr>
          <w:rFonts w:hint="eastAsia"/>
          <w:sz w:val="24"/>
          <w:szCs w:val="40"/>
        </w:rPr>
        <w:t>7.2.18选用</w:t>
      </w:r>
      <w:r>
        <w:rPr>
          <w:sz w:val="24"/>
          <w:szCs w:val="40"/>
        </w:rPr>
        <w:t>绿色建材</w:t>
      </w:r>
      <w:r>
        <w:rPr>
          <w:rFonts w:hint="eastAsia"/>
          <w:sz w:val="24"/>
          <w:szCs w:val="40"/>
        </w:rPr>
        <w:t>。（</w:t>
      </w:r>
      <w:r>
        <w:rPr>
          <w:sz w:val="24"/>
          <w:szCs w:val="40"/>
        </w:rPr>
        <w:t>12</w:t>
      </w:r>
      <w:r>
        <w:rPr>
          <w:rFonts w:hint="eastAsia"/>
          <w:sz w:val="24"/>
          <w:szCs w:val="40"/>
        </w:rPr>
        <w:t>分）</w:t>
      </w:r>
    </w:p>
    <w:p w14:paraId="6F9FF0EB">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6"/>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3976"/>
        <w:gridCol w:w="1843"/>
        <w:gridCol w:w="1410"/>
      </w:tblGrid>
      <w:tr w14:paraId="0AAB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14:paraId="6769E861">
            <w:pPr>
              <w:spacing w:line="288" w:lineRule="auto"/>
              <w:jc w:val="center"/>
              <w:rPr>
                <w:b/>
                <w:bCs/>
                <w:lang w:val="zh-CN"/>
              </w:rPr>
            </w:pPr>
            <w:r>
              <w:rPr>
                <w:rFonts w:ascii="Times New Roman" w:hAnsi="Times New Roman" w:eastAsia="宋体" w:cs="Times New Roman"/>
                <w:szCs w:val="21"/>
              </w:rPr>
              <w:t>序号</w:t>
            </w:r>
          </w:p>
        </w:tc>
        <w:tc>
          <w:tcPr>
            <w:tcW w:w="3976" w:type="dxa"/>
            <w:vAlign w:val="center"/>
          </w:tcPr>
          <w:p w14:paraId="094F0FAE">
            <w:pPr>
              <w:spacing w:line="288" w:lineRule="auto"/>
              <w:jc w:val="center"/>
              <w:rPr>
                <w:b/>
                <w:bCs/>
                <w:lang w:val="zh-CN"/>
              </w:rPr>
            </w:pPr>
            <w:r>
              <w:rPr>
                <w:rFonts w:ascii="Times New Roman" w:hAnsi="Times New Roman" w:eastAsia="宋体" w:cs="Times New Roman"/>
                <w:szCs w:val="21"/>
              </w:rPr>
              <w:t>评价内容</w:t>
            </w:r>
          </w:p>
        </w:tc>
        <w:tc>
          <w:tcPr>
            <w:tcW w:w="1843" w:type="dxa"/>
            <w:vAlign w:val="center"/>
          </w:tcPr>
          <w:p w14:paraId="4447056C">
            <w:pPr>
              <w:spacing w:line="288" w:lineRule="auto"/>
              <w:jc w:val="center"/>
              <w:rPr>
                <w:b/>
                <w:bCs/>
                <w:lang w:val="zh-CN"/>
              </w:rPr>
            </w:pPr>
            <w:r>
              <w:rPr>
                <w:rFonts w:ascii="Times New Roman" w:hAnsi="Times New Roman" w:eastAsia="宋体" w:cs="Times New Roman"/>
                <w:szCs w:val="21"/>
              </w:rPr>
              <w:t>评价分值</w:t>
            </w:r>
          </w:p>
        </w:tc>
        <w:tc>
          <w:tcPr>
            <w:tcW w:w="1410" w:type="dxa"/>
            <w:vAlign w:val="center"/>
          </w:tcPr>
          <w:p w14:paraId="102AE48D">
            <w:pPr>
              <w:spacing w:line="288" w:lineRule="auto"/>
              <w:jc w:val="center"/>
              <w:rPr>
                <w:b/>
                <w:bCs/>
                <w:lang w:val="zh-CN"/>
              </w:rPr>
            </w:pPr>
            <w:r>
              <w:rPr>
                <w:rFonts w:ascii="Times New Roman" w:hAnsi="Times New Roman" w:eastAsia="宋体" w:cs="Times New Roman"/>
                <w:szCs w:val="21"/>
              </w:rPr>
              <w:t>自评得分</w:t>
            </w:r>
          </w:p>
        </w:tc>
      </w:tr>
      <w:tr w14:paraId="10D5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14:paraId="0C9B9165">
            <w:pPr>
              <w:spacing w:line="288" w:lineRule="auto"/>
              <w:jc w:val="center"/>
              <w:rPr>
                <w:bCs/>
                <w:lang w:val="zh-CN"/>
              </w:rPr>
            </w:pPr>
            <w:r>
              <w:rPr>
                <w:rFonts w:hint="eastAsia"/>
                <w:bCs/>
                <w:lang w:val="zh-CN"/>
              </w:rPr>
              <w:t>1</w:t>
            </w:r>
          </w:p>
        </w:tc>
        <w:tc>
          <w:tcPr>
            <w:tcW w:w="3976" w:type="dxa"/>
            <w:vAlign w:val="center"/>
          </w:tcPr>
          <w:p w14:paraId="16AC818B">
            <w:pPr>
              <w:spacing w:line="288" w:lineRule="auto"/>
              <w:jc w:val="left"/>
              <w:rPr>
                <w:bCs/>
                <w:lang w:val="zh-CN"/>
              </w:rPr>
            </w:pPr>
            <w:r>
              <w:rPr>
                <w:rFonts w:hint="eastAsia"/>
                <w:bCs/>
                <w:lang w:val="zh-CN"/>
              </w:rPr>
              <w:t>绿色建材</w:t>
            </w:r>
            <w:r>
              <w:rPr>
                <w:bCs/>
                <w:lang w:val="zh-CN"/>
              </w:rPr>
              <w:t>应用比例不低于</w:t>
            </w:r>
            <w:r>
              <w:rPr>
                <w:rFonts w:hint="eastAsia"/>
                <w:bCs/>
                <w:lang w:val="zh-CN"/>
              </w:rPr>
              <w:t>30</w:t>
            </w:r>
            <w:r>
              <w:rPr>
                <w:bCs/>
                <w:lang w:val="zh-CN"/>
              </w:rPr>
              <w:t>%</w:t>
            </w:r>
          </w:p>
        </w:tc>
        <w:tc>
          <w:tcPr>
            <w:tcW w:w="1843" w:type="dxa"/>
            <w:vAlign w:val="center"/>
          </w:tcPr>
          <w:p w14:paraId="40846ED0">
            <w:pPr>
              <w:spacing w:line="288" w:lineRule="auto"/>
              <w:jc w:val="center"/>
              <w:rPr>
                <w:bCs/>
                <w:lang w:val="zh-CN"/>
              </w:rPr>
            </w:pPr>
            <w:r>
              <w:rPr>
                <w:bCs/>
                <w:lang w:val="zh-CN"/>
              </w:rPr>
              <w:t>4</w:t>
            </w:r>
          </w:p>
        </w:tc>
        <w:tc>
          <w:tcPr>
            <w:tcW w:w="1410" w:type="dxa"/>
            <w:vMerge w:val="restart"/>
            <w:vAlign w:val="center"/>
          </w:tcPr>
          <w:p w14:paraId="256F1574">
            <w:pPr>
              <w:spacing w:line="288" w:lineRule="auto"/>
              <w:jc w:val="center"/>
              <w:rPr>
                <w:b/>
                <w:bCs/>
                <w:lang w:val="zh-CN"/>
              </w:rPr>
            </w:pPr>
          </w:p>
        </w:tc>
      </w:tr>
      <w:tr w14:paraId="59E5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14:paraId="61197923">
            <w:pPr>
              <w:spacing w:line="288" w:lineRule="auto"/>
              <w:jc w:val="center"/>
              <w:rPr>
                <w:bCs/>
                <w:lang w:val="zh-CN"/>
              </w:rPr>
            </w:pPr>
            <w:r>
              <w:rPr>
                <w:rFonts w:hint="eastAsia"/>
                <w:bCs/>
                <w:lang w:val="zh-CN"/>
              </w:rPr>
              <w:t>2</w:t>
            </w:r>
          </w:p>
        </w:tc>
        <w:tc>
          <w:tcPr>
            <w:tcW w:w="3976" w:type="dxa"/>
            <w:vAlign w:val="center"/>
          </w:tcPr>
          <w:p w14:paraId="5E86F2EE">
            <w:pPr>
              <w:spacing w:line="288" w:lineRule="auto"/>
              <w:jc w:val="left"/>
              <w:rPr>
                <w:bCs/>
                <w:lang w:val="zh-CN"/>
              </w:rPr>
            </w:pPr>
            <w:r>
              <w:rPr>
                <w:rFonts w:hint="eastAsia"/>
                <w:bCs/>
                <w:lang w:val="zh-CN"/>
              </w:rPr>
              <w:t>绿色建材</w:t>
            </w:r>
            <w:r>
              <w:rPr>
                <w:bCs/>
                <w:lang w:val="zh-CN"/>
              </w:rPr>
              <w:t>应用比例不低于5</w:t>
            </w:r>
            <w:r>
              <w:rPr>
                <w:rFonts w:hint="eastAsia"/>
                <w:bCs/>
                <w:lang w:val="zh-CN"/>
              </w:rPr>
              <w:t>0</w:t>
            </w:r>
            <w:r>
              <w:rPr>
                <w:bCs/>
                <w:lang w:val="zh-CN"/>
              </w:rPr>
              <w:t>%</w:t>
            </w:r>
          </w:p>
        </w:tc>
        <w:tc>
          <w:tcPr>
            <w:tcW w:w="1843" w:type="dxa"/>
            <w:vAlign w:val="center"/>
          </w:tcPr>
          <w:p w14:paraId="471D4DDF">
            <w:pPr>
              <w:spacing w:line="288" w:lineRule="auto"/>
              <w:jc w:val="center"/>
              <w:rPr>
                <w:bCs/>
                <w:lang w:val="zh-CN"/>
              </w:rPr>
            </w:pPr>
            <w:r>
              <w:rPr>
                <w:bCs/>
                <w:lang w:val="zh-CN"/>
              </w:rPr>
              <w:t>8</w:t>
            </w:r>
          </w:p>
        </w:tc>
        <w:tc>
          <w:tcPr>
            <w:tcW w:w="1410" w:type="dxa"/>
            <w:vMerge w:val="continue"/>
            <w:vAlign w:val="center"/>
          </w:tcPr>
          <w:p w14:paraId="5F031721">
            <w:pPr>
              <w:spacing w:line="288" w:lineRule="auto"/>
              <w:jc w:val="center"/>
              <w:rPr>
                <w:b/>
                <w:bCs/>
                <w:lang w:val="zh-CN"/>
              </w:rPr>
            </w:pPr>
          </w:p>
        </w:tc>
      </w:tr>
      <w:tr w14:paraId="6F62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14:paraId="3DB519A1">
            <w:pPr>
              <w:spacing w:line="288" w:lineRule="auto"/>
              <w:jc w:val="center"/>
              <w:rPr>
                <w:bCs/>
                <w:lang w:val="zh-CN"/>
              </w:rPr>
            </w:pPr>
            <w:r>
              <w:rPr>
                <w:rFonts w:hint="eastAsia"/>
                <w:bCs/>
                <w:lang w:val="zh-CN"/>
              </w:rPr>
              <w:t>3</w:t>
            </w:r>
          </w:p>
        </w:tc>
        <w:tc>
          <w:tcPr>
            <w:tcW w:w="3976" w:type="dxa"/>
            <w:vAlign w:val="center"/>
          </w:tcPr>
          <w:p w14:paraId="742B497B">
            <w:pPr>
              <w:spacing w:line="288" w:lineRule="auto"/>
              <w:jc w:val="left"/>
              <w:rPr>
                <w:bCs/>
                <w:lang w:val="zh-CN"/>
              </w:rPr>
            </w:pPr>
            <w:r>
              <w:rPr>
                <w:rFonts w:hint="eastAsia"/>
                <w:bCs/>
                <w:lang w:val="zh-CN"/>
              </w:rPr>
              <w:t>绿色建材</w:t>
            </w:r>
            <w:r>
              <w:rPr>
                <w:bCs/>
                <w:lang w:val="zh-CN"/>
              </w:rPr>
              <w:t>应用比例不低于7</w:t>
            </w:r>
            <w:r>
              <w:rPr>
                <w:rFonts w:hint="eastAsia"/>
                <w:bCs/>
                <w:lang w:val="zh-CN"/>
              </w:rPr>
              <w:t>0</w:t>
            </w:r>
            <w:r>
              <w:rPr>
                <w:bCs/>
                <w:lang w:val="zh-CN"/>
              </w:rPr>
              <w:t>%</w:t>
            </w:r>
          </w:p>
        </w:tc>
        <w:tc>
          <w:tcPr>
            <w:tcW w:w="1843" w:type="dxa"/>
            <w:vAlign w:val="center"/>
          </w:tcPr>
          <w:p w14:paraId="4609A0A4">
            <w:pPr>
              <w:spacing w:line="288" w:lineRule="auto"/>
              <w:jc w:val="center"/>
              <w:rPr>
                <w:bCs/>
                <w:lang w:val="zh-CN"/>
              </w:rPr>
            </w:pPr>
            <w:r>
              <w:rPr>
                <w:bCs/>
                <w:lang w:val="zh-CN"/>
              </w:rPr>
              <w:t>12</w:t>
            </w:r>
          </w:p>
        </w:tc>
        <w:tc>
          <w:tcPr>
            <w:tcW w:w="1410" w:type="dxa"/>
            <w:vMerge w:val="continue"/>
            <w:vAlign w:val="center"/>
          </w:tcPr>
          <w:p w14:paraId="62D857CD">
            <w:pPr>
              <w:spacing w:line="288" w:lineRule="auto"/>
              <w:jc w:val="center"/>
              <w:rPr>
                <w:b/>
                <w:bCs/>
                <w:lang w:val="zh-CN"/>
              </w:rPr>
            </w:pPr>
          </w:p>
        </w:tc>
      </w:tr>
      <w:tr w14:paraId="7DF9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3" w:type="dxa"/>
            <w:gridSpan w:val="2"/>
            <w:vAlign w:val="center"/>
          </w:tcPr>
          <w:p w14:paraId="6CB67AB0">
            <w:pPr>
              <w:spacing w:line="288" w:lineRule="auto"/>
              <w:jc w:val="center"/>
              <w:rPr>
                <w:bCs/>
                <w:lang w:val="zh-CN"/>
              </w:rPr>
            </w:pPr>
            <w:r>
              <w:rPr>
                <w:bCs/>
                <w:lang w:val="zh-CN"/>
              </w:rPr>
              <w:t>合计</w:t>
            </w:r>
          </w:p>
        </w:tc>
        <w:tc>
          <w:tcPr>
            <w:tcW w:w="1843" w:type="dxa"/>
            <w:vAlign w:val="center"/>
          </w:tcPr>
          <w:p w14:paraId="66C75AAC">
            <w:pPr>
              <w:spacing w:line="288" w:lineRule="auto"/>
              <w:jc w:val="center"/>
              <w:rPr>
                <w:bCs/>
                <w:lang w:val="zh-CN"/>
              </w:rPr>
            </w:pPr>
            <w:r>
              <w:rPr>
                <w:bCs/>
                <w:lang w:val="zh-CN"/>
              </w:rPr>
              <w:t>12</w:t>
            </w:r>
          </w:p>
        </w:tc>
        <w:tc>
          <w:tcPr>
            <w:tcW w:w="1410" w:type="dxa"/>
            <w:vAlign w:val="center"/>
          </w:tcPr>
          <w:p w14:paraId="4B02402F">
            <w:pPr>
              <w:spacing w:line="288" w:lineRule="auto"/>
              <w:jc w:val="center"/>
              <w:rPr>
                <w:b/>
                <w:bCs/>
                <w:lang w:val="zh-CN"/>
              </w:rPr>
            </w:pPr>
          </w:p>
        </w:tc>
      </w:tr>
    </w:tbl>
    <w:p w14:paraId="6F9B3DEC">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14:paraId="6B52A101">
      <w:pPr>
        <w:rPr>
          <w:rFonts w:ascii="Times New Roman" w:hAnsi="Times New Roman" w:eastAsia="宋体" w:cs="Times New Roman"/>
          <w:szCs w:val="21"/>
        </w:rPr>
      </w:pPr>
      <w:r>
        <w:rPr>
          <w:rFonts w:hint="eastAsia" w:cs="宋体"/>
          <w:lang w:val="zh-CN"/>
        </w:rPr>
        <w:t>请简要说明本项目</w:t>
      </w:r>
      <w:r>
        <w:t>绿色建材</w:t>
      </w:r>
      <w:r>
        <w:rPr>
          <w:rFonts w:hint="eastAsia"/>
        </w:rPr>
        <w:t>的</w:t>
      </w:r>
      <w:r>
        <w:rPr>
          <w:rFonts w:hint="eastAsia" w:cs="宋体"/>
          <w:lang w:val="zh-CN"/>
        </w:rPr>
        <w:t>应用情况。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0ED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14:paraId="68E822D1">
            <w:pPr>
              <w:rPr>
                <w:rFonts w:ascii="Times New Roman" w:hAnsi="Times New Roman" w:eastAsia="宋体" w:cs="Times New Roman"/>
                <w:kern w:val="0"/>
                <w:sz w:val="20"/>
                <w:szCs w:val="21"/>
              </w:rPr>
            </w:pPr>
            <w:r>
              <w:rPr>
                <w:rFonts w:hint="eastAsia" w:ascii="宋体" w:hAnsi="宋体" w:eastAsia="宋体" w:cs="宋体"/>
                <w:i w:val="0"/>
                <w:iCs w:val="0"/>
                <w:caps w:val="0"/>
                <w:color w:val="000000"/>
                <w:spacing w:val="0"/>
                <w:sz w:val="16"/>
                <w:szCs w:val="16"/>
              </w:rPr>
              <w:t>幼儿园改造工程项目中绿色建材的应用情况主要体现在以下几个方面，结合了环保材料选择、可再生能源技术及循环利用策略：</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1. **环保装修材料的广泛应用**</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**低污染涂料与板材**：幼儿园普遍采用低VOC或零甲醛的环保涂料，符合GB18581-2001标准的木器漆，以及无醛胶粘剂的生态板、欧松板等，显著降低室内甲醛和挥发性有机物的释放，保障儿童健康。</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**环保地材**：FSC认证的天然木材地板和通过ISO认证的PVC地板，兼具防滑、静音和环保特性，广泛应用于活动室、操场等区域。</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**废旧材料再利用**：通过回收木材、塑料瓶、纸箱等废旧材料进行墙面装饰、活动区布置或户外设施改造，既降低成本又培养儿童的环保意识。</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2. **可再生能源技术的整合**</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**太阳能与地能技术**：引入太阳能光伏板供电，采用太阳墙系统（SolarWall Systems），通过太阳能集热板与通风系统结合，实现冬季供暖和夏季遮阳，降低能耗。</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3. **新型环保建材的创新应用**</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**仿真草坪**：替代传统草坪，采用高分子材料制成，无需维护且触感柔软，广泛应用于户外活动区，兼具安全性与教育功能（颜色、形状认知）。</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**防水保温一体化系统**：卓宝科技的“WiCi外喜”系统，将防水与保温材料复合为一体化板材，简化施工流程并提升性能，</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4. **施工与验收的严格标准**</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**材料认证与检测**：施工前要求供应商提供环保认证（十环认证、绿色建材认证）及检测报告，确保材料符合国家标准。</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**施工后空气质量检测**：完工后需通过专业机构检测室内空气质量，达标后方可投入使用，并注重施工过程的通风与防护措施。</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 5. **环境教育功能的延伸**</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绿色建材的应用不仅满足功能需求，还融入教育场景。仿真草坪可设计成图案教学工具，废旧材料改造活动引导儿童参与环保实践，太阳能设备成为科普展示内容，潜移默化培养环保意识。</w:t>
            </w:r>
            <w:bookmarkStart w:id="0" w:name="_GoBack"/>
            <w:bookmarkEnd w:id="0"/>
          </w:p>
        </w:tc>
      </w:tr>
    </w:tbl>
    <w:p w14:paraId="14D9EA57">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14:paraId="35446C08">
      <w:pPr>
        <w:rPr>
          <w:rFonts w:ascii="Times New Roman" w:hAnsi="Times New Roman" w:eastAsia="宋体" w:cs="Times New Roman"/>
          <w:szCs w:val="21"/>
        </w:rPr>
      </w:pPr>
      <w:r>
        <w:rPr>
          <w:rFonts w:ascii="Times New Roman" w:hAnsi="Times New Roman" w:eastAsia="宋体" w:cs="Times New Roman"/>
          <w:szCs w:val="21"/>
        </w:rPr>
        <w:t>提交材料及要求：</w:t>
      </w:r>
    </w:p>
    <w:p w14:paraId="02CC77D4">
      <w:pPr>
        <w:rPr>
          <w:rFonts w:ascii="Times New Roman" w:hAnsi="Times New Roman" w:cs="Times New Roman" w:eastAsiaTheme="majorEastAsia"/>
        </w:rPr>
      </w:pPr>
      <w:r>
        <w:rPr>
          <w:rFonts w:hint="eastAsia" w:ascii="Times New Roman" w:hAnsi="Times New Roman" w:cs="Times New Roman" w:eastAsiaTheme="majorEastAsia"/>
        </w:rPr>
        <w:t>1）建筑、</w:t>
      </w:r>
      <w:r>
        <w:rPr>
          <w:rFonts w:ascii="Times New Roman" w:hAnsi="Times New Roman" w:cs="Times New Roman" w:eastAsiaTheme="majorEastAsia"/>
        </w:rPr>
        <w:t>土建</w:t>
      </w:r>
      <w:r>
        <w:rPr>
          <w:rFonts w:hint="eastAsia" w:ascii="Times New Roman" w:hAnsi="Times New Roman" w:cs="Times New Roman" w:eastAsiaTheme="majorEastAsia"/>
        </w:rPr>
        <w:t>、</w:t>
      </w:r>
      <w:r>
        <w:rPr>
          <w:rFonts w:ascii="Times New Roman" w:hAnsi="Times New Roman" w:cs="Times New Roman" w:eastAsiaTheme="majorEastAsia"/>
        </w:rPr>
        <w:t>装修专业的</w:t>
      </w:r>
      <w:r>
        <w:rPr>
          <w:rFonts w:hint="eastAsia" w:ascii="Times New Roman" w:hAnsi="Times New Roman" w:cs="Times New Roman" w:eastAsiaTheme="majorEastAsia"/>
        </w:rPr>
        <w:t>竣工图及设计说明、工程决算材料清单；</w:t>
      </w:r>
    </w:p>
    <w:p w14:paraId="649F1E17">
      <w:pPr>
        <w:rPr>
          <w:rFonts w:ascii="Times New Roman" w:hAnsi="Times New Roman" w:cs="Times New Roman" w:eastAsiaTheme="majorEastAsia"/>
        </w:rPr>
      </w:pPr>
      <w:r>
        <w:rPr>
          <w:rFonts w:hint="eastAsia" w:ascii="Times New Roman" w:hAnsi="Times New Roman" w:cs="Times New Roman" w:eastAsiaTheme="majorEastAsia"/>
        </w:rPr>
        <w:t>2）绿色建材应用比例计算分析报告、绿色</w:t>
      </w:r>
      <w:r>
        <w:rPr>
          <w:rFonts w:ascii="Times New Roman" w:hAnsi="Times New Roman" w:cs="Times New Roman" w:eastAsiaTheme="majorEastAsia"/>
        </w:rPr>
        <w:t>建材标识证书、</w:t>
      </w:r>
      <w:r>
        <w:rPr>
          <w:rFonts w:hint="eastAsia" w:ascii="Times New Roman" w:hAnsi="Times New Roman" w:cs="Times New Roman" w:eastAsiaTheme="majorEastAsia"/>
        </w:rPr>
        <w:t>相关产品性能检测报告；</w:t>
      </w:r>
    </w:p>
    <w:p w14:paraId="7F7CF7AA">
      <w:pPr>
        <w:rPr>
          <w:rFonts w:ascii="Times New Roman" w:hAnsi="Times New Roman" w:cs="Times New Roman" w:eastAsiaTheme="majorEastAsia"/>
        </w:rPr>
      </w:pPr>
      <w:r>
        <w:rPr>
          <w:rFonts w:hint="eastAsia" w:ascii="Times New Roman" w:hAnsi="Times New Roman" w:cs="Times New Roman" w:eastAsiaTheme="majorEastAsia"/>
        </w:rPr>
        <w:t>3）施工记录</w:t>
      </w:r>
      <w:r>
        <w:rPr>
          <w:rFonts w:ascii="Times New Roman" w:hAnsi="Times New Roman" w:cs="Times New Roman" w:eastAsiaTheme="majorEastAsia"/>
        </w:rPr>
        <w:t>文件</w:t>
      </w:r>
      <w:r>
        <w:rPr>
          <w:rFonts w:hint="eastAsia" w:ascii="Times New Roman" w:hAnsi="Times New Roman" w:cs="Times New Roman" w:eastAsiaTheme="majorEastAsia"/>
        </w:rPr>
        <w:t>。</w:t>
      </w:r>
    </w:p>
    <w:p w14:paraId="0E91C36E">
      <w:pPr>
        <w:spacing w:line="288" w:lineRule="auto"/>
        <w:rPr>
          <w:szCs w:val="21"/>
        </w:rPr>
      </w:pPr>
    </w:p>
    <w:p w14:paraId="6A25D086">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2F1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14:paraId="1B07B18A">
            <w:pPr>
              <w:rPr>
                <w:rFonts w:ascii="Times New Roman" w:hAnsi="Times New Roman" w:eastAsia="宋体" w:cs="Times New Roman"/>
                <w:kern w:val="0"/>
                <w:sz w:val="20"/>
                <w:szCs w:val="21"/>
              </w:rPr>
            </w:pPr>
          </w:p>
        </w:tc>
      </w:tr>
    </w:tbl>
    <w:p w14:paraId="70C1B8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8F"/>
    <w:rsid w:val="00074A38"/>
    <w:rsid w:val="000F5F80"/>
    <w:rsid w:val="001D2421"/>
    <w:rsid w:val="004A337C"/>
    <w:rsid w:val="004C0BE5"/>
    <w:rsid w:val="00811FE7"/>
    <w:rsid w:val="008903E0"/>
    <w:rsid w:val="00A31D8F"/>
    <w:rsid w:val="5D0A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uiPriority w:val="99"/>
    <w:rPr>
      <w:sz w:val="18"/>
      <w:szCs w:val="18"/>
    </w:rPr>
  </w:style>
  <w:style w:type="character" w:customStyle="1" w:styleId="11">
    <w:name w:val="标题 4 字符"/>
    <w:basedOn w:val="8"/>
    <w:link w:val="3"/>
    <w:qFormat/>
    <w:uiPriority w:val="0"/>
    <w:rPr>
      <w:rFonts w:ascii="Times New Roman" w:hAnsi="Times New Roman" w:eastAsia="宋体" w:cs="Times New Roman"/>
      <w:b/>
      <w:bCs/>
      <w:szCs w:val="32"/>
    </w:rPr>
  </w:style>
  <w:style w:type="character" w:styleId="12">
    <w:name w:val="Placeholder Text"/>
    <w:basedOn w:val="8"/>
    <w:semiHidden/>
    <w:qFormat/>
    <w:uiPriority w:val="99"/>
    <w:rPr>
      <w:color w:val="808080"/>
    </w:rPr>
  </w:style>
  <w:style w:type="table" w:customStyle="1" w:styleId="13">
    <w:name w:val="网格型1"/>
    <w:basedOn w:val="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uiPriority w:val="1"/>
    <w:rPr>
      <w:rFonts w:eastAsiaTheme="minorEastAsia"/>
      <w:sz w:val="21"/>
    </w:rPr>
  </w:style>
  <w:style w:type="character" w:customStyle="1" w:styleId="15">
    <w:name w:val="标题 3 字符"/>
    <w:basedOn w:val="8"/>
    <w:link w:val="2"/>
    <w:semiHidden/>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196</Words>
  <Characters>210</Characters>
  <Lines>1</Lines>
  <Paragraphs>1</Paragraphs>
  <TotalTime>5</TotalTime>
  <ScaleCrop>false</ScaleCrop>
  <LinksUpToDate>false</LinksUpToDate>
  <CharactersWithSpaces>213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2019-07-12T08:12:00Z</dcterms:created>
  <dc:creator>dongYP</dc:creator>
  <cp:lastModifiedBy>蘭</cp:lastModifiedBy>
  <dcterms:modified xsi:type="dcterms:W3CDTF">2025-03-14T15:48:42Z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eyJoZGlkIjoiMmI4NmI4YzQ1MGNkMTU0ZTBjMTgwYjdkYWY1MWFiY2YiLCJ1c2VySWQiOiIxMTU2ODQwMjk2In0=</vt:lpwstr>
  </property>
  <property fmtid="{D5CDD505-2E9C-101B-9397-08002B2CF9AE}" pid="3" name="KSOProductBuildVer">
    <vt:lpwstr>2052-12.1.0.20305</vt:lpwstr>
  </property>
  <property fmtid="{D5CDD505-2E9C-101B-9397-08002B2CF9AE}" pid="4" name="ICV">
    <vt:lpwstr>A50A52732E1549E8A02DCD7A87005AFB_12</vt:lpwstr>
  </property>
</Properties>
</file>