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CB4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用地面积：8070平方米</w:t>
      </w:r>
    </w:p>
    <w:p w14:paraId="4D0D62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建筑面积：4406平方米</w:t>
      </w:r>
    </w:p>
    <w:p w14:paraId="1B1D48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建筑高度：18m</w:t>
      </w:r>
    </w:p>
    <w:p w14:paraId="766FB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建筑占地面积：2310平方米</w:t>
      </w:r>
    </w:p>
    <w:p w14:paraId="126367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绿地率：35%</w:t>
      </w:r>
    </w:p>
    <w:p w14:paraId="5EE5A03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容积率：0.55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34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2025-03-14T14:01:43Z</dcterms:created>
  <dc:creator>xuhao</dc:creator>
  <cp:lastModifiedBy>Sunrise</cp:lastModifiedBy>
  <dcterms:modified xsi:type="dcterms:W3CDTF">2025-03-14T14:03:55Z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eyJoZGlkIjoiM2VhMTVmNjI2NGMzYmMyZDQzNmIwOTI2MDIxNzdjM2QiLCJ1c2VySWQiOiI0OTk0OTI4MTkifQ==</vt:lpwstr>
  </property>
  <property fmtid="{D5CDD505-2E9C-101B-9397-08002B2CF9AE}" pid="4" name="ICV">
    <vt:lpwstr>F48303FE368D4B17B7D429937D620659_12</vt:lpwstr>
  </property>
</Properties>
</file>