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97367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46C96F53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1710899B">
      <w:pPr>
        <w:spacing w:before="5"/>
        <w:rPr>
          <w:rFonts w:ascii="Times New Roman" w:hAnsi="Times New Roman" w:eastAsia="Times New Roman" w:cs="Times New Roman"/>
          <w:sz w:val="13"/>
          <w:szCs w:val="13"/>
        </w:rPr>
      </w:pPr>
    </w:p>
    <w:p w14:paraId="6CE844BD">
      <w:pPr>
        <w:spacing w:line="200" w:lineRule="atLeast"/>
        <w:ind w:left="1114"/>
        <w:rPr>
          <w:rFonts w:ascii="Times New Roman" w:hAnsi="Times New Roman" w:eastAsia="Times New Roman" w:cs="Times New Roman"/>
          <w:sz w:val="20"/>
          <w:szCs w:val="20"/>
        </w:rPr>
      </w:pPr>
    </w:p>
    <w:p w14:paraId="5E66A45F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6350C394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043475E2">
      <w:pPr>
        <w:spacing w:before="3"/>
        <w:rPr>
          <w:rFonts w:ascii="Times New Roman" w:hAnsi="Times New Roman" w:eastAsia="Times New Roman" w:cs="Times New Roman"/>
          <w:sz w:val="26"/>
          <w:szCs w:val="26"/>
        </w:rPr>
      </w:pPr>
    </w:p>
    <w:p w14:paraId="1DC1013B">
      <w:pPr>
        <w:spacing w:before="107"/>
        <w:ind w:left="1858"/>
        <w:rPr>
          <w:rFonts w:ascii="微软雅黑" w:hAnsi="微软雅黑" w:eastAsia="微软雅黑" w:cs="微软雅黑"/>
          <w:sz w:val="48"/>
          <w:szCs w:val="48"/>
          <w:lang w:eastAsia="zh-CN"/>
        </w:rPr>
      </w:pPr>
      <w: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  <w:t>公共交通设施布局说明</w:t>
      </w:r>
    </w:p>
    <w:p w14:paraId="0235F6AB">
      <w:pP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</w:pPr>
    </w:p>
    <w:p w14:paraId="151CA7DB">
      <w:pP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</w:pPr>
    </w:p>
    <w:p w14:paraId="03DA55E2">
      <w:pPr>
        <w:rPr>
          <w:rFonts w:hint="eastAsia" w:ascii="微软雅黑" w:hAnsi="微软雅黑" w:eastAsia="微软雅黑" w:cs="微软雅黑"/>
          <w:b/>
          <w:bCs/>
          <w:sz w:val="48"/>
          <w:szCs w:val="48"/>
          <w:lang w:eastAsia="zh-CN"/>
        </w:rPr>
      </w:pPr>
      <w: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  <w:br w:type="page"/>
      </w:r>
    </w:p>
    <w:p w14:paraId="240238EC">
      <w:pPr>
        <w:rPr>
          <w:rFonts w:ascii="宋体" w:hAnsi="宋体" w:eastAsia="宋体" w:cs="宋体"/>
          <w:b/>
          <w:bCs/>
          <w:sz w:val="36"/>
          <w:szCs w:val="36"/>
          <w:lang w:eastAsia="zh-CN"/>
        </w:rPr>
      </w:pPr>
    </w:p>
    <w:p w14:paraId="5DBA885C">
      <w:pPr>
        <w:pStyle w:val="4"/>
        <w:ind w:left="338"/>
        <w:rPr>
          <w:rFonts w:hint="eastAsia"/>
          <w:b w:val="0"/>
          <w:bCs w:val="0"/>
          <w:i w:val="0"/>
          <w:iCs w:val="0"/>
          <w:u w:val="single"/>
          <w:lang w:eastAsia="zh-CN"/>
        </w:rPr>
      </w:pPr>
      <w:r>
        <w:rPr>
          <w:rFonts w:hint="eastAsia"/>
          <w:lang w:eastAsia="zh-CN"/>
        </w:rPr>
        <w:t>项目名称：</w:t>
      </w:r>
      <w:r>
        <w:rPr>
          <w:rFonts w:hint="eastAsia"/>
          <w:b w:val="0"/>
          <w:bCs w:val="0"/>
          <w:i w:val="0"/>
          <w:iCs w:val="0"/>
          <w:u w:val="single"/>
          <w:lang w:eastAsia="zh-CN"/>
        </w:rPr>
        <w:t>翳然林水—基于绿色低碳目标下游客中心设计</w:t>
      </w:r>
    </w:p>
    <w:p w14:paraId="746D4EEF">
      <w:pPr>
        <w:pStyle w:val="4"/>
        <w:ind w:left="338"/>
        <w:rPr>
          <w:rFonts w:hint="eastAsia"/>
          <w:lang w:eastAsia="zh-CN"/>
        </w:rPr>
      </w:pPr>
      <w:r>
        <w:rPr>
          <w:rFonts w:hint="eastAsia"/>
          <w:lang w:eastAsia="zh-CN"/>
        </w:rPr>
        <w:t>对标</w:t>
      </w:r>
      <w:r>
        <w:rPr>
          <w:lang w:eastAsia="zh-CN"/>
        </w:rPr>
        <w:t>条文：</w:t>
      </w:r>
    </w:p>
    <w:p w14:paraId="707A8B87"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6.1.2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场地人行出入口500m内应设有公共交通站点或配备联系公共交通站点的专用接驳车。</w:t>
      </w:r>
    </w:p>
    <w:p w14:paraId="08CB9232"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6.2.1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场地与公共交通站点联系便捷，评价总分值为8分，并按下列规则分别评分并累计：</w:t>
      </w:r>
    </w:p>
    <w:p w14:paraId="685E95DF">
      <w:pPr>
        <w:ind w:left="1440" w:firstLine="105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   场地出入口到达公共交通站点的步行距离不超过500m，或到达轨道交通站的步行距离不大于800m，得2分；场地出入口到达公共交通站点的步行距离不超过300m，或到达轨道交通站的步行距离不大于500m，得4分；</w:t>
      </w:r>
    </w:p>
    <w:p w14:paraId="3C73943A"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场地出入口步行距离800m范围内设有不少于2条线路的公共交通站点，得4分。</w:t>
      </w:r>
    </w:p>
    <w:p w14:paraId="14E66E71">
      <w:pPr>
        <w:ind w:left="720" w:firstLine="72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6.2.3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提供便利的公共服务，评价总分值为10分，并按下列规则评分：</w:t>
      </w:r>
    </w:p>
    <w:p w14:paraId="38346384">
      <w:pPr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1   住宅建筑，满足下列要求中4项，得5分；满足6项及以上，得10分。</w:t>
      </w:r>
    </w:p>
    <w:p w14:paraId="79402DEB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1)   场地出入口到达幼儿园的步行距离不大于300m；</w:t>
      </w:r>
    </w:p>
    <w:p w14:paraId="3E0A1F04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2)   场地出入口到达小学的步行距离不大于500m；</w:t>
      </w:r>
    </w:p>
    <w:p w14:paraId="62A4EE96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3)   场地出入口到达中学的步行距离不大于1000m；</w:t>
      </w:r>
    </w:p>
    <w:p w14:paraId="487BC290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4)   场地出入口到达医院的步行距离不大于1000m；</w:t>
      </w:r>
    </w:p>
    <w:p w14:paraId="5873E079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5)   场地出入口到达群众文化活动设施的步行距离不大于800m；</w:t>
      </w:r>
    </w:p>
    <w:p w14:paraId="1ADB9497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6)   场地出入口到达老年人日间照料设施的步行距离不大于500m；</w:t>
      </w:r>
    </w:p>
    <w:p w14:paraId="41BCA0B1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7)   场地周边500m范围内具有不少于3种商业服务设施。</w:t>
      </w:r>
    </w:p>
    <w:p w14:paraId="652297E3">
      <w:pPr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 xml:space="preserve"> 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公共建筑满足下列要求中的3项，得5分；满足5项，得10分。</w:t>
      </w:r>
    </w:p>
    <w:p w14:paraId="45F461C3"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1)   建筑内至少兼容2种面向社会的公共服务功能；</w:t>
      </w:r>
    </w:p>
    <w:p w14:paraId="4AC1F481"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2)   建筑向社会公众提供开放的公共活动空间；</w:t>
      </w:r>
    </w:p>
    <w:p w14:paraId="7EF4E512"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3)   电动汽车充电桩的车位数占总车位数的比例不低于10%;</w:t>
      </w:r>
    </w:p>
    <w:p w14:paraId="401D1940"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4)   周边500m 范围内设有社会公共停车场（库）；</w:t>
      </w:r>
    </w:p>
    <w:p w14:paraId="5C9F01AE"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5)   场地不封闭或场地内步行公共通道向社会开放。</w:t>
      </w:r>
    </w:p>
    <w:p w14:paraId="75C5639D">
      <w:pPr>
        <w:ind w:left="138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 xml:space="preserve">6.2.4 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城市绿地、广场及公共运动场地等开敞空间，步行可达，评价总分值为5分，并按下列规则分别评分并累计：</w:t>
      </w:r>
    </w:p>
    <w:p w14:paraId="52449EC3">
      <w:pPr>
        <w:ind w:left="144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   场地出入口到达居住区公园或城市公园绿地、广场的步行距离不大于300m，得3分；</w:t>
      </w:r>
    </w:p>
    <w:p w14:paraId="4E9866F6">
      <w:pPr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到达中型多功能运动场地的步行距离不大于500m，得2分。</w:t>
      </w:r>
    </w:p>
    <w:p w14:paraId="3B65E992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4814E4B6">
      <w:pPr>
        <w:pStyle w:val="4"/>
        <w:ind w:left="338"/>
        <w:rPr>
          <w:b w:val="0"/>
          <w:bCs w:val="0"/>
          <w:lang w:eastAsia="zh-CN"/>
        </w:rPr>
      </w:pPr>
      <w:r>
        <w:rPr>
          <w:lang w:eastAsia="zh-CN"/>
        </w:rPr>
        <w:t>工程概况：</w:t>
      </w:r>
    </w:p>
    <w:p w14:paraId="56CCF989">
      <w:pPr>
        <w:spacing w:before="8"/>
        <w:rPr>
          <w:rFonts w:hint="default" w:ascii="宋体" w:hAnsi="宋体" w:eastAsia="宋体" w:cs="宋体"/>
          <w:b/>
          <w:bCs/>
          <w:sz w:val="17"/>
          <w:szCs w:val="17"/>
          <w:lang w:val="en-US" w:eastAsia="zh-CN"/>
        </w:rPr>
      </w:pPr>
    </w:p>
    <w:p w14:paraId="194D6A80"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  <w:r>
        <w:rPr>
          <w:spacing w:val="4"/>
          <w:lang w:eastAsia="zh-CN"/>
        </w:rPr>
        <w:t>项目位于</w:t>
      </w:r>
      <w:r>
        <w:rPr>
          <w:rFonts w:hint="eastAsia"/>
          <w:spacing w:val="4"/>
          <w:u w:val="single"/>
          <w:lang w:eastAsia="zh-CN"/>
        </w:rPr>
        <w:t xml:space="preserve"> </w:t>
      </w:r>
      <w:r>
        <w:rPr>
          <w:spacing w:val="4"/>
          <w:u w:val="single"/>
          <w:lang w:eastAsia="zh-CN"/>
        </w:rPr>
        <w:t xml:space="preserve">   </w:t>
      </w:r>
      <w:r>
        <w:rPr>
          <w:rFonts w:hint="eastAsia"/>
          <w:spacing w:val="4"/>
          <w:u w:val="single"/>
          <w:lang w:val="en-US" w:eastAsia="zh-CN"/>
        </w:rPr>
        <w:t>河北省秦皇岛市海港区西港花园</w:t>
      </w:r>
      <w:r>
        <w:rPr>
          <w:spacing w:val="4"/>
          <w:u w:val="single"/>
          <w:lang w:eastAsia="zh-CN"/>
        </w:rPr>
        <w:t xml:space="preserve">              </w:t>
      </w:r>
      <w:r>
        <w:rPr>
          <w:spacing w:val="4"/>
          <w:lang w:eastAsia="zh-CN"/>
        </w:rPr>
        <w:t>。该项目总用地面</w:t>
      </w:r>
      <w:r>
        <w:rPr>
          <w:spacing w:val="6"/>
          <w:lang w:eastAsia="zh-CN"/>
        </w:rPr>
        <w:t>积</w:t>
      </w:r>
      <w:r>
        <w:rPr>
          <w:lang w:eastAsia="zh-CN"/>
        </w:rPr>
        <w:t>为</w:t>
      </w:r>
      <w:r>
        <w:rPr>
          <w:spacing w:val="3"/>
          <w:lang w:eastAsia="zh-CN"/>
        </w:rPr>
        <w:t xml:space="preserve"> </w:t>
      </w:r>
      <w:r>
        <w:rPr>
          <w:rFonts w:ascii="Calibri" w:hAnsi="Calibri" w:eastAsia="Calibri" w:cs="Calibri"/>
          <w:u w:val="single" w:color="000000"/>
          <w:lang w:eastAsia="zh-CN"/>
        </w:rPr>
        <w:t xml:space="preserve">   </w:t>
      </w:r>
      <w:r>
        <w:rPr>
          <w:rFonts w:hint="eastAsia" w:ascii="Calibri" w:hAnsi="Calibri" w:eastAsia="Calibri" w:cs="Calibri"/>
          <w:u w:val="single" w:color="000000"/>
          <w:lang w:val="en-US" w:eastAsia="zh-CN"/>
        </w:rPr>
        <w:t>1500</w:t>
      </w:r>
      <w:r>
        <w:rPr>
          <w:rFonts w:ascii="Calibri" w:hAnsi="Calibri" w:eastAsia="Calibri" w:cs="Calibri"/>
          <w:u w:val="single" w:color="000000"/>
          <w:lang w:eastAsia="zh-CN"/>
        </w:rPr>
        <w:t xml:space="preserve">       </w:t>
      </w:r>
      <w:r>
        <w:rPr>
          <w:rFonts w:ascii="Calibri" w:hAnsi="Calibri" w:eastAsia="Calibri" w:cs="Calibri"/>
          <w:spacing w:val="14"/>
          <w:u w:val="single" w:color="000000"/>
          <w:lang w:eastAsia="zh-CN"/>
        </w:rPr>
        <w:t xml:space="preserve"> </w:t>
      </w:r>
      <w:r>
        <w:rPr>
          <w:spacing w:val="4"/>
          <w:lang w:eastAsia="zh-CN"/>
        </w:rPr>
        <w:t>平方米，建筑面积为</w:t>
      </w:r>
      <w:r>
        <w:rPr>
          <w:rFonts w:hint="eastAsia"/>
          <w:spacing w:val="4"/>
          <w:lang w:val="en-US" w:eastAsia="zh-CN"/>
        </w:rPr>
        <w:t>1104</w:t>
      </w:r>
      <w:r>
        <w:rPr>
          <w:rFonts w:ascii="Calibri" w:hAnsi="Calibri" w:eastAsia="Calibri" w:cs="Calibri"/>
          <w:w w:val="95"/>
          <w:u w:val="single" w:color="000000"/>
          <w:lang w:eastAsia="zh-CN"/>
        </w:rPr>
        <w:tab/>
      </w:r>
      <w:r>
        <w:rPr>
          <w:spacing w:val="-1"/>
          <w:lang w:eastAsia="zh-CN"/>
        </w:rPr>
        <w:t>平方米，</w:t>
      </w:r>
      <w:r>
        <w:rPr>
          <w:lang w:eastAsia="zh-CN"/>
        </w:rPr>
        <w:t>地上</w:t>
      </w:r>
      <w:r>
        <w:rPr>
          <w:rFonts w:ascii="Calibri" w:hAnsi="Calibri" w:eastAsia="Calibri" w:cs="Calibri"/>
          <w:spacing w:val="-1"/>
          <w:u w:val="single"/>
          <w:lang w:eastAsia="zh-CN"/>
        </w:rPr>
        <w:t xml:space="preserve">      </w:t>
      </w:r>
      <w:r>
        <w:rPr>
          <w:rFonts w:hint="eastAsia" w:ascii="Calibri" w:hAnsi="Calibri" w:eastAsia="Calibri" w:cs="Calibri"/>
          <w:spacing w:val="-1"/>
          <w:u w:val="single"/>
          <w:lang w:val="en-US" w:eastAsia="zh-CN"/>
        </w:rPr>
        <w:t>1</w:t>
      </w:r>
      <w:r>
        <w:rPr>
          <w:rFonts w:ascii="Calibri" w:hAnsi="Calibri" w:eastAsia="Calibri" w:cs="Calibri"/>
          <w:spacing w:val="-1"/>
          <w:u w:val="single"/>
          <w:lang w:eastAsia="zh-CN"/>
        </w:rPr>
        <w:t xml:space="preserve">         </w:t>
      </w:r>
      <w:r>
        <w:rPr>
          <w:spacing w:val="-1"/>
          <w:lang w:eastAsia="zh-CN"/>
        </w:rPr>
        <w:t>层，地上面积</w:t>
      </w:r>
      <w:r>
        <w:rPr>
          <w:rFonts w:ascii="Calibri" w:hAnsi="Calibri" w:eastAsia="Calibri" w:cs="Calibri"/>
          <w:lang w:eastAsia="zh-CN"/>
        </w:rPr>
        <w:t xml:space="preserve"> </w:t>
      </w:r>
      <w:r>
        <w:rPr>
          <w:rFonts w:ascii="Calibri" w:hAnsi="Calibri" w:eastAsia="Calibri" w:cs="Calibri"/>
          <w:u w:val="single"/>
          <w:lang w:eastAsia="zh-CN"/>
        </w:rPr>
        <w:t xml:space="preserve">     </w:t>
      </w:r>
      <w:r>
        <w:rPr>
          <w:rFonts w:hint="eastAsia" w:ascii="Calibri" w:hAnsi="Calibri" w:eastAsia="Calibri" w:cs="Calibri"/>
          <w:u w:val="single"/>
          <w:lang w:val="en-US" w:eastAsia="zh-CN"/>
        </w:rPr>
        <w:t>1104</w:t>
      </w:r>
      <w:r>
        <w:rPr>
          <w:rFonts w:ascii="Calibri" w:hAnsi="Calibri" w:eastAsia="Calibri" w:cs="Calibri"/>
          <w:u w:val="single"/>
          <w:lang w:eastAsia="zh-CN"/>
        </w:rPr>
        <w:t xml:space="preserve">              </w:t>
      </w:r>
      <w:r>
        <w:rPr>
          <w:rFonts w:cs="宋体"/>
          <w:lang w:eastAsia="zh-CN"/>
        </w:rPr>
        <w:t>平米，</w:t>
      </w:r>
      <w:r>
        <w:rPr>
          <w:rFonts w:cs="宋体"/>
          <w:spacing w:val="-1"/>
          <w:lang w:eastAsia="zh-CN"/>
        </w:rPr>
        <w:t>地下面积</w:t>
      </w:r>
      <w:r>
        <w:rPr>
          <w:rFonts w:cs="宋体"/>
          <w:spacing w:val="-62"/>
          <w:lang w:eastAsia="zh-CN"/>
        </w:rPr>
        <w:t xml:space="preserve"> </w:t>
      </w:r>
      <w:r>
        <w:rPr>
          <w:rFonts w:ascii="Calibri" w:hAnsi="Calibri" w:eastAsia="Calibri" w:cs="Calibri"/>
          <w:u w:val="single"/>
          <w:lang w:eastAsia="zh-CN"/>
        </w:rPr>
        <w:t xml:space="preserve">         </w:t>
      </w:r>
      <w:r>
        <w:rPr>
          <w:rFonts w:hint="eastAsia" w:ascii="Calibri" w:hAnsi="Calibri" w:eastAsia="Calibri" w:cs="Calibri"/>
          <w:u w:val="single"/>
          <w:lang w:val="en-US" w:eastAsia="zh-CN"/>
        </w:rPr>
        <w:t>0</w:t>
      </w:r>
      <w:r>
        <w:rPr>
          <w:rFonts w:ascii="Calibri" w:hAnsi="Calibri" w:eastAsia="Calibri" w:cs="Calibri"/>
          <w:u w:val="single"/>
          <w:lang w:eastAsia="zh-CN"/>
        </w:rPr>
        <w:t xml:space="preserve">         </w:t>
      </w:r>
      <w:r>
        <w:rPr>
          <w:rFonts w:cs="宋体"/>
          <w:lang w:eastAsia="zh-CN"/>
        </w:rPr>
        <w:t>平米。</w:t>
      </w:r>
      <w:r>
        <w:rPr>
          <w:rFonts w:cs="宋体"/>
          <w:spacing w:val="22"/>
          <w:lang w:eastAsia="zh-CN"/>
        </w:rPr>
        <w:t xml:space="preserve"> </w:t>
      </w:r>
    </w:p>
    <w:p w14:paraId="32A5751B"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 w14:paraId="5997D689"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 w14:paraId="5867BACF">
      <w:pPr>
        <w:rPr>
          <w:rFonts w:hint="eastAsia" w:ascii="宋体" w:hAnsi="宋体" w:eastAsia="宋体" w:cs="宋体"/>
          <w:spacing w:val="22"/>
          <w:sz w:val="24"/>
          <w:szCs w:val="24"/>
          <w:lang w:eastAsia="zh-CN"/>
        </w:rPr>
      </w:pPr>
      <w:r>
        <w:rPr>
          <w:rFonts w:cs="宋体"/>
          <w:spacing w:val="22"/>
          <w:lang w:eastAsia="zh-CN"/>
        </w:rPr>
        <w:br w:type="page"/>
      </w:r>
    </w:p>
    <w:p w14:paraId="671AE7DD">
      <w:pPr>
        <w:pStyle w:val="4"/>
        <w:ind w:left="338"/>
        <w:rPr>
          <w:lang w:eastAsia="zh-CN"/>
        </w:rPr>
      </w:pPr>
      <w:r>
        <w:rPr>
          <w:rFonts w:hint="eastAsia"/>
          <w:lang w:eastAsia="zh-CN"/>
        </w:rPr>
        <w:t>结论</w:t>
      </w:r>
      <w:r>
        <w:rPr>
          <w:lang w:eastAsia="zh-CN"/>
        </w:rPr>
        <w:t>：</w:t>
      </w:r>
    </w:p>
    <w:p w14:paraId="63FDFA09">
      <w:pPr>
        <w:pStyle w:val="4"/>
        <w:ind w:left="338"/>
        <w:rPr>
          <w:rFonts w:hint="eastAsia"/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本项目</w:t>
      </w:r>
      <w:r>
        <w:rPr>
          <w:rFonts w:hint="eastAsia"/>
          <w:lang w:val="en-US" w:eastAsia="zh-CN"/>
        </w:rPr>
        <w:t>为公共</w:t>
      </w:r>
      <w:r>
        <w:rPr>
          <w:rFonts w:hint="eastAsia"/>
          <w:lang w:eastAsia="zh-CN"/>
        </w:rPr>
        <w:t>建筑</w:t>
      </w:r>
      <w:r>
        <w:rPr>
          <w:lang w:eastAsia="zh-CN"/>
        </w:rPr>
        <w:t>，</w:t>
      </w:r>
      <w:r>
        <w:rPr>
          <w:rFonts w:hint="eastAsia"/>
          <w:lang w:eastAsia="zh-CN"/>
        </w:rPr>
        <w:t>满足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6.2.3</w:t>
      </w:r>
      <w:r>
        <w:rPr>
          <w:rFonts w:hint="eastAsia" w:cs="宋体"/>
          <w:b/>
          <w:bCs/>
          <w:sz w:val="20"/>
          <w:szCs w:val="20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6.2.</w:t>
      </w:r>
      <w:r>
        <w:rPr>
          <w:rFonts w:hint="eastAsia" w:cs="宋体"/>
          <w:b/>
          <w:bCs/>
          <w:sz w:val="20"/>
          <w:szCs w:val="20"/>
          <w:lang w:val="en-US" w:eastAsia="zh-CN"/>
        </w:rPr>
        <w:t>4</w:t>
      </w:r>
      <w:r>
        <w:rPr>
          <w:lang w:eastAsia="zh-CN"/>
        </w:rPr>
        <w:t>要求，可得</w:t>
      </w:r>
      <w:r>
        <w:rPr>
          <w:rFonts w:hint="eastAsia"/>
          <w:lang w:val="en-US" w:eastAsia="zh-CN"/>
        </w:rPr>
        <w:t>24</w:t>
      </w:r>
      <w:r>
        <w:rPr>
          <w:lang w:eastAsia="zh-CN"/>
        </w:rPr>
        <w:t>分。</w:t>
      </w:r>
    </w:p>
    <w:p w14:paraId="0C34D320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sectPr>
      <w:type w:val="continuous"/>
      <w:pgSz w:w="11910" w:h="16840"/>
      <w:pgMar w:top="158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ZmJlN2ZjNmQ2ZmQ5ZmRhYzlkN2ZiZjBjYWNjNzIifQ=="/>
  </w:docVars>
  <w:rsids>
    <w:rsidRoot w:val="00BD6183"/>
    <w:rsid w:val="0000133F"/>
    <w:rsid w:val="00142AA0"/>
    <w:rsid w:val="001A3623"/>
    <w:rsid w:val="00281291"/>
    <w:rsid w:val="004B6737"/>
    <w:rsid w:val="006D6EF4"/>
    <w:rsid w:val="00BD6183"/>
    <w:rsid w:val="00CC7FC2"/>
    <w:rsid w:val="00E57C91"/>
    <w:rsid w:val="566C223D"/>
    <w:rsid w:val="5765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858" w:hanging="144"/>
      <w:outlineLvl w:val="0"/>
    </w:pPr>
    <w:rPr>
      <w:rFonts w:ascii="微软雅黑" w:hAnsi="微软雅黑" w:eastAsia="微软雅黑"/>
      <w:b/>
      <w:bCs/>
      <w:sz w:val="48"/>
      <w:szCs w:val="48"/>
    </w:rPr>
  </w:style>
  <w:style w:type="paragraph" w:styleId="3">
    <w:name w:val="heading 2"/>
    <w:basedOn w:val="1"/>
    <w:qFormat/>
    <w:uiPriority w:val="1"/>
    <w:pPr>
      <w:ind w:left="1593"/>
      <w:outlineLvl w:val="1"/>
    </w:pPr>
    <w:rPr>
      <w:rFonts w:ascii="微软雅黑" w:hAnsi="微软雅黑" w:eastAsia="微软雅黑"/>
      <w:b/>
      <w:bCs/>
      <w:sz w:val="32"/>
      <w:szCs w:val="32"/>
    </w:rPr>
  </w:style>
  <w:style w:type="paragraph" w:styleId="4">
    <w:name w:val="heading 3"/>
    <w:basedOn w:val="1"/>
    <w:qFormat/>
    <w:uiPriority w:val="1"/>
    <w:pPr>
      <w:spacing w:before="26"/>
      <w:ind w:left="118"/>
      <w:outlineLvl w:val="2"/>
    </w:pPr>
    <w:rPr>
      <w:rFonts w:ascii="宋体" w:hAnsi="宋体" w:eastAsia="宋体"/>
      <w:b/>
      <w:bCs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18"/>
    </w:pPr>
    <w:rPr>
      <w:rFonts w:ascii="宋体" w:hAnsi="宋体" w:eastAsia="宋体"/>
      <w:sz w:val="24"/>
      <w:szCs w:val="24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859</Words>
  <Characters>948</Characters>
  <Lines>10</Lines>
  <Paragraphs>2</Paragraphs>
  <TotalTime>4</TotalTime>
  <ScaleCrop>false</ScaleCrop>
  <LinksUpToDate>false</LinksUpToDate>
  <CharactersWithSpaces>1366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2020-01-09T10:59:00Z</dcterms:created>
  <dc:creator>p</dc:creator>
  <cp:lastModifiedBy>紫霞.</cp:lastModifiedBy>
  <dcterms:modified xsi:type="dcterms:W3CDTF">2025-03-13T09:49:49Z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LastSaved">
    <vt:filetime>2020-01-09T00:00:00Z</vt:filetime>
  </property>
  <property fmtid="{D5CDD505-2E9C-101B-9397-08002B2CF9AE}" pid="4" name="KSOProductBuildVer">
    <vt:lpwstr>2052-12.1.0.17140</vt:lpwstr>
  </property>
  <property fmtid="{D5CDD505-2E9C-101B-9397-08002B2CF9AE}" pid="5" name="ICV">
    <vt:lpwstr>C08A560CC7E54D159D12298CA9762C6C_13</vt:lpwstr>
  </property>
</Properties>
</file>