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7367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6C96F5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710899B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6CE844BD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5E66A45F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350C39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43475E2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1DC1013B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0235F6AB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151CA7DB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03DA55E2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240238EC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5DBA885C">
      <w:pPr>
        <w:pStyle w:val="4"/>
        <w:ind w:left="338"/>
        <w:rPr>
          <w:rFonts w:hint="eastAsia"/>
          <w:b w:val="0"/>
          <w:bCs w:val="0"/>
          <w:i w:val="0"/>
          <w:iCs w:val="0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/>
          <w:b w:val="0"/>
          <w:bCs w:val="0"/>
          <w:i w:val="0"/>
          <w:iCs w:val="0"/>
          <w:u w:val="single"/>
          <w:lang w:eastAsia="zh-CN"/>
        </w:rPr>
        <w:t>翳然林水—基于绿色低碳目标下游客中心设计</w:t>
      </w:r>
    </w:p>
    <w:p w14:paraId="746D4EEF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707A8B87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08CB9232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685E95DF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3C73943A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14E66E71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38346384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79402DEB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3E0A1F04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62A4EE96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487BC290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5873E079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1ADB9497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41BCA0B1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652297E3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45F461C3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4AC1F48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7EF4E512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401D1940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5C9F01AE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5C5639D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52449EC3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4E9866F6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3B65E992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4814E4B6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56CCF989">
      <w:pPr>
        <w:spacing w:before="8"/>
        <w:rPr>
          <w:rFonts w:hint="default" w:ascii="宋体" w:hAnsi="宋体" w:eastAsia="宋体" w:cs="宋体"/>
          <w:b/>
          <w:bCs/>
          <w:sz w:val="17"/>
          <w:szCs w:val="17"/>
          <w:lang w:val="en-US" w:eastAsia="zh-CN"/>
        </w:rPr>
      </w:pPr>
    </w:p>
    <w:p w14:paraId="194D6A80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</w:t>
      </w:r>
      <w:r>
        <w:rPr>
          <w:rFonts w:hint="eastAsia"/>
          <w:spacing w:val="4"/>
          <w:u w:val="single"/>
          <w:lang w:val="en-US" w:eastAsia="zh-CN"/>
        </w:rPr>
        <w:t>河北省秦皇岛市海港区西港花园</w:t>
      </w:r>
      <w:r>
        <w:rPr>
          <w:spacing w:val="4"/>
          <w:u w:val="single"/>
          <w:lang w:eastAsia="zh-CN"/>
        </w:rPr>
        <w:t xml:space="preserve">              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1500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val="en-US" w:eastAsia="zh-CN"/>
        </w:rPr>
        <w:t>1104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</w:t>
      </w:r>
      <w:r>
        <w:rPr>
          <w:lang w:eastAsia="zh-CN"/>
        </w:rPr>
        <w:t>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1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1104</w:t>
      </w:r>
      <w:r>
        <w:rPr>
          <w:rFonts w:ascii="Calibri" w:hAnsi="Calibri" w:eastAsia="Calibri" w:cs="Calibri"/>
          <w:u w:val="single"/>
          <w:lang w:eastAsia="zh-CN"/>
        </w:rPr>
        <w:t xml:space="preserve">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32A5751B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997D689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867BACF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71AE7DD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63FDFA09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rFonts w:hint="eastAsia"/>
          <w:lang w:val="en-US" w:eastAsia="zh-CN"/>
        </w:rPr>
        <w:t>为公共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cs="宋体"/>
          <w:b/>
          <w:bCs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</w:t>
      </w:r>
      <w:r>
        <w:rPr>
          <w:rFonts w:hint="eastAsia" w:cs="宋体"/>
          <w:b/>
          <w:bCs/>
          <w:sz w:val="20"/>
          <w:szCs w:val="20"/>
          <w:lang w:val="en-US" w:eastAsia="zh-CN"/>
        </w:rPr>
        <w:t>4</w:t>
      </w:r>
      <w:r>
        <w:rPr>
          <w:lang w:eastAsia="zh-CN"/>
        </w:rPr>
        <w:t>要求，可得</w:t>
      </w:r>
      <w:r>
        <w:rPr>
          <w:rFonts w:hint="eastAsia"/>
          <w:lang w:val="en-US" w:eastAsia="zh-CN"/>
        </w:rPr>
        <w:t>24</w:t>
      </w:r>
      <w:r>
        <w:rPr>
          <w:lang w:eastAsia="zh-CN"/>
        </w:rPr>
        <w:t>分。</w:t>
      </w:r>
    </w:p>
    <w:p w14:paraId="0C34D320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66C223D"/>
    <w:rsid w:val="5765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948</Characters>
  <Lines>10</Lines>
  <Paragraphs>2</Paragraphs>
  <TotalTime>4</TotalTime>
  <ScaleCrop>false</ScaleCrop>
  <LinksUpToDate>false</LinksUpToDate>
  <CharactersWithSpaces>1366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紫霞.</cp:lastModifiedBy>
  <dcterms:modified xsi:type="dcterms:W3CDTF">2025-03-13T09:49:49Z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2052-12.1.0.17140</vt:lpwstr>
  </property>
  <property fmtid="{D5CDD505-2E9C-101B-9397-08002B2CF9AE}" pid="5" name="ICV">
    <vt:lpwstr>C08A560CC7E54D159D12298CA9762C6C_13</vt:lpwstr>
  </property>
</Properties>
</file>