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1ABF2">
      <w:pPr>
        <w:pStyle w:val="3"/>
        <w:spacing w:line="288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 xml:space="preserve">4.1.2 </w:t>
      </w:r>
      <w:r>
        <w:rPr>
          <w:rFonts w:hint="eastAsia" w:ascii="Times New Roman" w:hAnsi="Times New Roman" w:eastAsiaTheme="minorEastAsia"/>
        </w:rPr>
        <w:t>建筑结构应满足承载力和建筑使用功能要求。建筑外墙、屋面、门窗、幕墙及外保温等围护结构应满足安全、耐久和防护的要求。</w:t>
      </w:r>
    </w:p>
    <w:p w14:paraId="7BF464A5">
      <w:pPr>
        <w:numPr>
          <w:ilvl w:val="0"/>
          <w:numId w:val="1"/>
        </w:numPr>
        <w:spacing w:line="288" w:lineRule="auto"/>
        <w:rPr>
          <w:rFonts w:eastAsiaTheme="minorEastAsia"/>
          <w:b/>
          <w:kern w:val="0"/>
          <w:sz w:val="24"/>
        </w:rPr>
      </w:pPr>
      <w:r>
        <w:rPr>
          <w:rFonts w:hint="eastAsia" w:eastAsiaTheme="minorEastAsia"/>
          <w:b/>
          <w:kern w:val="0"/>
          <w:sz w:val="24"/>
        </w:rPr>
        <w:t>达标自评</w:t>
      </w:r>
    </w:p>
    <w:p w14:paraId="29A58081">
      <w:pPr>
        <w:spacing w:line="288" w:lineRule="auto"/>
        <w:rPr>
          <w:rFonts w:eastAsiaTheme="minorEastAsia"/>
        </w:rPr>
      </w:pPr>
      <w:sdt>
        <w:sdtPr>
          <w:rPr>
            <w:rFonts w:hint="eastAsia" w:eastAsiaTheme="minorEastAsia"/>
            <w:b/>
            <w:szCs w:val="21"/>
          </w:rPr>
          <w:id w:val="1210759025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b/>
            <w:szCs w:val="21"/>
          </w:rPr>
        </w:sdtEndPr>
        <w:sdtContent>
          <w:r>
            <w:rPr>
              <w:rFonts w:hint="eastAsia" w:ascii="Wingdings 2" w:hAnsi="Wingdings 2" w:cs="Times New Roman" w:eastAsiaTheme="minorEastAsia"/>
              <w:b/>
              <w:kern w:val="2"/>
              <w:sz w:val="21"/>
              <w:szCs w:val="21"/>
              <w:lang w:val="en-US" w:eastAsia="zh-CN" w:bidi="ar-SA"/>
            </w:rPr>
            <w:t>R</w:t>
          </w:r>
        </w:sdtContent>
      </w:sdt>
      <w:r>
        <w:rPr>
          <w:rFonts w:hint="eastAsia" w:eastAsiaTheme="minorEastAsia"/>
        </w:rPr>
        <w:t xml:space="preserve">达标； </w:t>
      </w:r>
      <w:sdt>
        <w:sdtPr>
          <w:rPr>
            <w:rFonts w:hint="eastAsia" w:eastAsiaTheme="minorEastAsia"/>
            <w:b/>
            <w:szCs w:val="21"/>
          </w:rPr>
          <w:id w:val="1157364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b/>
            <w:szCs w:val="21"/>
          </w:rPr>
        </w:sdtEndPr>
        <w:sdtContent>
          <w:r>
            <w:rPr>
              <w:rFonts w:hint="eastAsia" w:eastAsiaTheme="minorEastAsia"/>
              <w:b/>
              <w:szCs w:val="21"/>
            </w:rPr>
            <w:sym w:font="Wingdings 2" w:char="F0A3"/>
          </w:r>
        </w:sdtContent>
      </w:sdt>
      <w:r>
        <w:rPr>
          <w:rFonts w:hint="eastAsia" w:eastAsiaTheme="minorEastAsia"/>
        </w:rPr>
        <w:t>不达标</w:t>
      </w:r>
    </w:p>
    <w:p w14:paraId="6C150A82">
      <w:pPr>
        <w:numPr>
          <w:ilvl w:val="0"/>
          <w:numId w:val="1"/>
        </w:numPr>
        <w:spacing w:before="200" w:line="288" w:lineRule="auto"/>
        <w:ind w:left="357" w:hanging="357"/>
        <w:rPr>
          <w:rFonts w:eastAsiaTheme="minorEastAsia"/>
          <w:b/>
          <w:kern w:val="0"/>
          <w:sz w:val="24"/>
        </w:rPr>
      </w:pPr>
      <w:r>
        <w:rPr>
          <w:rFonts w:hint="eastAsia" w:eastAsiaTheme="minorEastAsia"/>
          <w:b/>
          <w:kern w:val="0"/>
          <w:sz w:val="24"/>
        </w:rPr>
        <w:t>评价要点</w:t>
      </w:r>
    </w:p>
    <w:p w14:paraId="2DE792C9">
      <w:pPr>
        <w:pStyle w:val="12"/>
        <w:numPr>
          <w:ilvl w:val="0"/>
          <w:numId w:val="2"/>
        </w:numPr>
        <w:spacing w:before="100" w:line="288" w:lineRule="auto"/>
        <w:ind w:left="632" w:leftChars="100" w:hanging="422" w:hangingChars="200"/>
        <w:rPr>
          <w:rFonts w:eastAsiaTheme="minorEastAsia"/>
          <w:b/>
          <w:lang w:val="zh-CN"/>
        </w:rPr>
      </w:pPr>
      <w:r>
        <w:rPr>
          <w:rFonts w:hint="eastAsia" w:eastAsiaTheme="minorEastAsia"/>
          <w:b/>
          <w:lang w:val="zh-CN"/>
        </w:rPr>
        <w:t>建筑结构、结构构件和围护结构安全</w:t>
      </w:r>
    </w:p>
    <w:p w14:paraId="6A621226">
      <w:pPr>
        <w:spacing w:line="288" w:lineRule="auto"/>
        <w:rPr>
          <w:rFonts w:eastAsiaTheme="minorEastAsia"/>
          <w:szCs w:val="21"/>
          <w:lang w:val="zh-CN"/>
        </w:rPr>
      </w:pPr>
      <w:r>
        <w:rPr>
          <w:rFonts w:hint="eastAsia" w:eastAsiaTheme="minorEastAsia"/>
          <w:szCs w:val="21"/>
          <w:lang w:val="zh-CN"/>
        </w:rPr>
        <w:t>建筑结构、结构构件和围护结构是否出现以下现象：</w:t>
      </w:r>
    </w:p>
    <w:p w14:paraId="5E0A9CBA">
      <w:pPr>
        <w:spacing w:line="288" w:lineRule="auto"/>
        <w:rPr>
          <w:rFonts w:eastAsiaTheme="minorEastAsia"/>
          <w:szCs w:val="21"/>
          <w:lang w:val="zh-CN"/>
        </w:rPr>
      </w:pPr>
      <w:sdt>
        <w:sdtPr>
          <w:rPr>
            <w:rFonts w:hint="eastAsia" w:eastAsiaTheme="minorEastAsia"/>
            <w:szCs w:val="21"/>
          </w:rPr>
          <w:id w:val="152096909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Cs w:val="21"/>
          </w:rPr>
        </w:sdtEndPr>
        <w:sdtContent>
          <w:r>
            <w:rPr>
              <w:rFonts w:hint="eastAsia" w:eastAsiaTheme="minorEastAsia"/>
              <w:szCs w:val="21"/>
            </w:rPr>
            <w:sym w:font="Wingdings 2" w:char="F0A3"/>
          </w:r>
        </w:sdtContent>
      </w:sdt>
      <w:r>
        <w:rPr>
          <w:rFonts w:eastAsiaTheme="minorEastAsia"/>
          <w:szCs w:val="21"/>
        </w:rPr>
        <w:t xml:space="preserve"> </w:t>
      </w:r>
      <w:r>
        <w:rPr>
          <w:rFonts w:hint="eastAsia" w:eastAsiaTheme="minorEastAsia"/>
          <w:szCs w:val="21"/>
          <w:lang w:val="zh-CN"/>
        </w:rPr>
        <w:t>局部损坏（裂缝、缺口、锈蚀、腐蚀、剥落、过度变形等）</w:t>
      </w:r>
    </w:p>
    <w:p w14:paraId="3D47E71F">
      <w:pPr>
        <w:spacing w:line="288" w:lineRule="auto"/>
        <w:rPr>
          <w:rFonts w:eastAsiaTheme="minorEastAsia"/>
          <w:szCs w:val="21"/>
          <w:lang w:val="zh-CN"/>
        </w:rPr>
      </w:pPr>
      <w:sdt>
        <w:sdtPr>
          <w:rPr>
            <w:rFonts w:hint="eastAsia" w:eastAsiaTheme="minorEastAsia"/>
            <w:szCs w:val="21"/>
          </w:rPr>
          <w:id w:val="-185347888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Cs w:val="21"/>
          </w:rPr>
        </w:sdtEndPr>
        <w:sdtContent>
          <w:r>
            <w:rPr>
              <w:rFonts w:hint="eastAsia" w:eastAsiaTheme="minorEastAsia"/>
              <w:szCs w:val="21"/>
            </w:rPr>
            <w:sym w:font="Wingdings 2" w:char="F0A3"/>
          </w:r>
        </w:sdtContent>
      </w:sdt>
      <w:r>
        <w:rPr>
          <w:rFonts w:eastAsiaTheme="minorEastAsia"/>
          <w:szCs w:val="21"/>
        </w:rPr>
        <w:t xml:space="preserve"> </w:t>
      </w:r>
      <w:r>
        <w:rPr>
          <w:rFonts w:hint="eastAsia" w:eastAsiaTheme="minorEastAsia"/>
          <w:szCs w:val="21"/>
          <w:lang w:val="zh-CN"/>
        </w:rPr>
        <w:t>破坏</w:t>
      </w:r>
    </w:p>
    <w:p w14:paraId="0B040CCA">
      <w:pPr>
        <w:spacing w:line="288" w:lineRule="auto"/>
        <w:rPr>
          <w:rFonts w:eastAsiaTheme="minorEastAsia"/>
          <w:b/>
          <w:bCs/>
          <w:szCs w:val="21"/>
          <w:lang w:val="zh-CN"/>
        </w:rPr>
      </w:pPr>
      <w:sdt>
        <w:sdtPr>
          <w:rPr>
            <w:rFonts w:hint="eastAsia" w:eastAsiaTheme="minorEastAsia"/>
            <w:szCs w:val="21"/>
          </w:rPr>
          <w:id w:val="-190983816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Cs w:val="21"/>
          </w:rPr>
        </w:sdtEndPr>
        <w:sdtContent>
          <w:r>
            <w:rPr>
              <w:rFonts w:hint="eastAsia" w:eastAsiaTheme="minorEastAsia"/>
              <w:szCs w:val="21"/>
            </w:rPr>
            <w:sym w:font="Wingdings 2" w:char="F0A3"/>
          </w:r>
        </w:sdtContent>
      </w:sdt>
      <w:r>
        <w:rPr>
          <w:rFonts w:eastAsiaTheme="minorEastAsia"/>
          <w:szCs w:val="21"/>
        </w:rPr>
        <w:t xml:space="preserve"> </w:t>
      </w:r>
      <w:r>
        <w:rPr>
          <w:rFonts w:hint="eastAsia" w:eastAsiaTheme="minorEastAsia"/>
          <w:bCs/>
          <w:szCs w:val="21"/>
          <w:lang w:val="zh-CN"/>
        </w:rPr>
        <w:t>振动</w:t>
      </w:r>
      <w:r>
        <w:rPr>
          <w:rFonts w:hint="eastAsia" w:eastAsiaTheme="minorEastAsia"/>
          <w:szCs w:val="21"/>
          <w:lang w:val="zh-CN"/>
        </w:rPr>
        <w:t>或不稳定</w:t>
      </w:r>
    </w:p>
    <w:p w14:paraId="2BF85788">
      <w:pPr>
        <w:spacing w:line="288" w:lineRule="auto"/>
        <w:rPr>
          <w:rFonts w:eastAsiaTheme="minorEastAsia"/>
          <w:szCs w:val="21"/>
          <w:lang w:val="zh-CN"/>
        </w:rPr>
      </w:pPr>
      <w:sdt>
        <w:sdtPr>
          <w:rPr>
            <w:rFonts w:hint="eastAsia" w:eastAsiaTheme="minorEastAsia"/>
            <w:szCs w:val="21"/>
          </w:rPr>
          <w:id w:val="75802854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Cs w:val="21"/>
          </w:rPr>
        </w:sdtEndPr>
        <w:sdtContent>
          <w:r>
            <w:rPr>
              <w:rFonts w:hint="eastAsia" w:eastAsiaTheme="minorEastAsia"/>
              <w:szCs w:val="21"/>
            </w:rPr>
            <w:sym w:font="Wingdings 2" w:char="F0A3"/>
          </w:r>
        </w:sdtContent>
      </w:sdt>
      <w:r>
        <w:rPr>
          <w:rFonts w:eastAsiaTheme="minorEastAsia"/>
          <w:szCs w:val="21"/>
        </w:rPr>
        <w:t xml:space="preserve"> </w:t>
      </w:r>
      <w:r>
        <w:rPr>
          <w:rFonts w:hint="eastAsia" w:eastAsiaTheme="minorEastAsia"/>
          <w:szCs w:val="21"/>
          <w:lang w:val="zh-CN"/>
        </w:rPr>
        <w:t>地基不均匀沉降或超载使用</w:t>
      </w:r>
    </w:p>
    <w:p w14:paraId="65486156">
      <w:pPr>
        <w:spacing w:line="288" w:lineRule="auto"/>
        <w:rPr>
          <w:rFonts w:eastAsiaTheme="minorEastAsia"/>
          <w:szCs w:val="21"/>
          <w:lang w:val="zh-CN"/>
        </w:rPr>
      </w:pPr>
      <w:sdt>
        <w:sdtPr>
          <w:rPr>
            <w:rFonts w:hint="eastAsia" w:eastAsiaTheme="minorEastAsia"/>
            <w:szCs w:val="21"/>
          </w:rPr>
          <w:id w:val="-121480403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Cs w:val="21"/>
          </w:rPr>
        </w:sdtEndPr>
        <w:sdtContent>
          <w:r>
            <w:rPr>
              <w:rFonts w:hint="eastAsia" w:eastAsiaTheme="minorEastAsia"/>
              <w:szCs w:val="21"/>
            </w:rPr>
            <w:sym w:font="Wingdings 2" w:char="F0A3"/>
          </w:r>
        </w:sdtContent>
      </w:sdt>
      <w:r>
        <w:rPr>
          <w:rFonts w:eastAsiaTheme="minorEastAsia"/>
          <w:b/>
          <w:szCs w:val="21"/>
        </w:rPr>
        <w:t xml:space="preserve"> </w:t>
      </w:r>
      <w:r>
        <w:rPr>
          <w:rFonts w:hint="eastAsia" w:eastAsiaTheme="minorEastAsia"/>
          <w:szCs w:val="21"/>
          <w:lang w:val="zh-CN"/>
        </w:rPr>
        <w:t>窗扇开启不便（如不易维修清洗、影响行人通行、存在安全隐患等）</w:t>
      </w:r>
    </w:p>
    <w:p w14:paraId="7D075960">
      <w:pPr>
        <w:spacing w:line="288" w:lineRule="auto"/>
        <w:rPr>
          <w:rFonts w:eastAsiaTheme="minorEastAsia"/>
          <w:b/>
          <w:bCs/>
          <w:szCs w:val="21"/>
          <w:lang w:val="zh-CN"/>
        </w:rPr>
      </w:pPr>
      <w:sdt>
        <w:sdtPr>
          <w:rPr>
            <w:rFonts w:hint="eastAsia" w:eastAsiaTheme="minorEastAsia"/>
            <w:szCs w:val="21"/>
          </w:rPr>
          <w:id w:val="1248620971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Cs w:val="21"/>
          </w:rPr>
        </w:sdtEndPr>
        <w:sdtContent>
          <w:r>
            <w:rPr>
              <w:rFonts w:hint="eastAsia" w:ascii="Wingdings 2" w:hAnsi="Wingdings 2" w:cs="Times New Roman" w:eastAsiaTheme="minorEastAsia"/>
              <w:kern w:val="2"/>
              <w:sz w:val="21"/>
              <w:szCs w:val="21"/>
              <w:lang w:val="en-US" w:eastAsia="zh-CN" w:bidi="ar-SA"/>
            </w:rPr>
            <w:t>R</w:t>
          </w:r>
        </w:sdtContent>
      </w:sdt>
      <w:r>
        <w:rPr>
          <w:rFonts w:eastAsiaTheme="minorEastAsia"/>
          <w:b/>
          <w:szCs w:val="21"/>
        </w:rPr>
        <w:t xml:space="preserve"> </w:t>
      </w:r>
      <w:r>
        <w:rPr>
          <w:rFonts w:hint="eastAsia" w:eastAsiaTheme="minorEastAsia"/>
          <w:szCs w:val="21"/>
          <w:lang w:val="zh-CN"/>
        </w:rPr>
        <w:t>以上皆无</w:t>
      </w:r>
    </w:p>
    <w:p w14:paraId="69DD3011">
      <w:pPr>
        <w:spacing w:line="288" w:lineRule="auto"/>
        <w:rPr>
          <w:rFonts w:eastAsiaTheme="minorEastAsia"/>
          <w:szCs w:val="21"/>
          <w:lang w:val="zh-CN"/>
        </w:rPr>
      </w:pPr>
      <w:r>
        <w:rPr>
          <w:rFonts w:hint="eastAsia" w:eastAsiaTheme="minorEastAsia"/>
          <w:szCs w:val="21"/>
        </w:rPr>
        <w:t>简要说明避免出现以上现象的措施。（</w:t>
      </w:r>
      <w:r>
        <w:rPr>
          <w:rFonts w:eastAsiaTheme="minorEastAsia"/>
          <w:szCs w:val="21"/>
        </w:rPr>
        <w:t>300</w:t>
      </w:r>
      <w:r>
        <w:rPr>
          <w:rFonts w:hint="eastAsia" w:eastAsiaTheme="minorEastAsia"/>
          <w:szCs w:val="21"/>
        </w:rPr>
        <w:t>字以内）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6AB6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atLeast"/>
          <w:jc w:val="center"/>
        </w:trPr>
        <w:tc>
          <w:tcPr>
            <w:tcW w:w="8522" w:type="dxa"/>
          </w:tcPr>
          <w:p w14:paraId="02857B56">
            <w:pPr>
              <w:spacing w:line="288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本项目建筑物设计使用年限为50年，建筑结构的安全等级为二级。本项目严格按照《抗震设计规范进行》设计，采用隔震设计分缝太多影响建筑平立面效果和使用功能，故于B、C段之间设置分缝，将主体部分分为A+B段，C1+C2段，D段（D段为地上车库部分，仅一层，采用抗震形式即可满足结构计算）。根据办公使用要求，合理确定梁柱截面，保证净高和使用功能及承载力要求。</w:t>
            </w:r>
          </w:p>
          <w:p w14:paraId="19D63038">
            <w:pPr>
              <w:spacing w:line="288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本项目外墙、屋面门窗以及外保温结构严格按照相关规范进行设计和施工，选用安全耐久性良好的保温材料，满足建筑安全、耐久和防护的要求。</w:t>
            </w:r>
          </w:p>
        </w:tc>
      </w:tr>
    </w:tbl>
    <w:p w14:paraId="3B549792">
      <w:pPr>
        <w:spacing w:line="288" w:lineRule="auto"/>
        <w:rPr>
          <w:rFonts w:eastAsiaTheme="minorEastAsia"/>
          <w:szCs w:val="21"/>
        </w:rPr>
      </w:pPr>
    </w:p>
    <w:p w14:paraId="4510F0E3">
      <w:pPr>
        <w:numPr>
          <w:ilvl w:val="0"/>
          <w:numId w:val="1"/>
        </w:numPr>
        <w:spacing w:line="288" w:lineRule="auto"/>
        <w:rPr>
          <w:rFonts w:eastAsiaTheme="minorEastAsia"/>
          <w:b/>
          <w:kern w:val="0"/>
          <w:sz w:val="24"/>
        </w:rPr>
      </w:pPr>
      <w:r>
        <w:rPr>
          <w:rFonts w:hint="eastAsia" w:eastAsiaTheme="minorEastAsia"/>
          <w:b/>
          <w:kern w:val="0"/>
          <w:sz w:val="24"/>
        </w:rPr>
        <w:t>证明材料</w:t>
      </w:r>
    </w:p>
    <w:p w14:paraId="0C154570">
      <w:pPr>
        <w:spacing w:before="156" w:beforeLines="50" w:after="156" w:afterLines="50" w:line="288" w:lineRule="auto"/>
        <w:ind w:left="360"/>
        <w:rPr>
          <w:rFonts w:eastAsiaTheme="minorEastAsia"/>
          <w:b/>
        </w:rPr>
      </w:pPr>
      <w:r>
        <w:rPr>
          <w:rFonts w:hint="eastAsia" w:eastAsiaTheme="minorEastAsia"/>
          <w:b/>
        </w:rPr>
        <w:t>建议提交材料及技术要求：</w:t>
      </w:r>
    </w:p>
    <w:tbl>
      <w:tblPr>
        <w:tblStyle w:val="6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985"/>
        <w:gridCol w:w="3665"/>
        <w:gridCol w:w="1191"/>
        <w:gridCol w:w="871"/>
      </w:tblGrid>
      <w:tr w14:paraId="755EB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724" w:type="dxa"/>
            <w:shd w:val="clear" w:color="DBE5F1" w:fill="DBE5F1"/>
            <w:noWrap/>
            <w:vAlign w:val="center"/>
          </w:tcPr>
          <w:p w14:paraId="720A8045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1985" w:type="dxa"/>
            <w:shd w:val="clear" w:color="DBE5F1" w:fill="DBE5F1"/>
            <w:vAlign w:val="center"/>
          </w:tcPr>
          <w:p w14:paraId="7ED421ED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665" w:type="dxa"/>
            <w:shd w:val="clear" w:color="DBE5F1" w:fill="DBE5F1"/>
            <w:vAlign w:val="center"/>
          </w:tcPr>
          <w:p w14:paraId="18F28E19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shd w:val="clear" w:color="DBE5F1" w:fill="DBE5F1"/>
            <w:noWrap/>
            <w:vAlign w:val="center"/>
          </w:tcPr>
          <w:p w14:paraId="66C5517C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71" w:type="dxa"/>
            <w:shd w:val="clear" w:color="DBE5F1" w:fill="DBE5F1"/>
            <w:noWrap/>
            <w:vAlign w:val="center"/>
          </w:tcPr>
          <w:p w14:paraId="2CF22CC6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14:paraId="07AF0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restart"/>
            <w:shd w:val="clear" w:color="auto" w:fill="auto"/>
            <w:noWrap/>
            <w:vAlign w:val="center"/>
          </w:tcPr>
          <w:p w14:paraId="53EEA038">
            <w:pPr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建筑设计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173948C">
            <w:pPr>
              <w:widowControl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建筑设计图</w:t>
            </w:r>
          </w:p>
        </w:tc>
        <w:tc>
          <w:tcPr>
            <w:tcW w:w="3665" w:type="dxa"/>
            <w:shd w:val="clear" w:color="auto" w:fill="auto"/>
            <w:noWrap/>
            <w:vAlign w:val="center"/>
          </w:tcPr>
          <w:p w14:paraId="798E4521"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应注明标高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5D5EA7DD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 w14:paraId="3FF15D65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56CB4750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</w:t>
            </w:r>
          </w:p>
          <w:p w14:paraId="772DF3E7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14:paraId="6A8A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continue"/>
            <w:shd w:val="clear" w:color="auto" w:fill="auto"/>
            <w:noWrap/>
            <w:vAlign w:val="center"/>
          </w:tcPr>
          <w:p w14:paraId="2A55EDC7">
            <w:pPr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BF3A033">
            <w:pPr>
              <w:widowControl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结构设计说明书</w:t>
            </w:r>
          </w:p>
        </w:tc>
        <w:tc>
          <w:tcPr>
            <w:tcW w:w="3665" w:type="dxa"/>
            <w:shd w:val="clear" w:color="auto" w:fill="auto"/>
            <w:noWrap/>
            <w:vAlign w:val="center"/>
          </w:tcPr>
          <w:p w14:paraId="0892FD3D"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应规定明确的标志或限制要求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709E5835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 w14:paraId="77FCE480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3FEC0D09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</w:t>
            </w:r>
          </w:p>
          <w:p w14:paraId="13C5AAA2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14:paraId="0BBF1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continue"/>
            <w:shd w:val="clear" w:color="auto" w:fill="auto"/>
            <w:noWrap/>
            <w:vAlign w:val="center"/>
          </w:tcPr>
          <w:p w14:paraId="3B5403D0">
            <w:pPr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CEC6D44">
            <w:pPr>
              <w:widowControl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主体与围护结构计算书</w:t>
            </w:r>
          </w:p>
        </w:tc>
        <w:tc>
          <w:tcPr>
            <w:tcW w:w="3665" w:type="dxa"/>
            <w:shd w:val="clear" w:color="auto" w:fill="auto"/>
            <w:noWrap/>
            <w:vAlign w:val="center"/>
          </w:tcPr>
          <w:p w14:paraId="40CCF694"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应说明建筑围护结构详细做法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721CECD0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 w14:paraId="539B8A1F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5E157085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</w:t>
            </w:r>
          </w:p>
          <w:p w14:paraId="1B4FBB9D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14:paraId="4B0E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continue"/>
            <w:shd w:val="clear" w:color="auto" w:fill="auto"/>
            <w:noWrap/>
            <w:vAlign w:val="center"/>
          </w:tcPr>
          <w:p w14:paraId="0A2454A3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DBCC78A">
            <w:pPr>
              <w:widowControl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主要结构用材料的检测报告</w:t>
            </w:r>
          </w:p>
        </w:tc>
        <w:tc>
          <w:tcPr>
            <w:tcW w:w="3665" w:type="dxa"/>
            <w:shd w:val="clear" w:color="auto" w:fill="auto"/>
            <w:noWrap/>
            <w:vAlign w:val="center"/>
          </w:tcPr>
          <w:p w14:paraId="3CB9A35E"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应包括幕墙气密性、水密性能、抗风压性能和平面内变形性能检测报告等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0CFD5FC2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196BDFBD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</w:t>
            </w:r>
          </w:p>
          <w:p w14:paraId="582BAAC6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14:paraId="45E16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restart"/>
            <w:shd w:val="clear" w:color="auto" w:fill="auto"/>
            <w:noWrap/>
            <w:vAlign w:val="center"/>
          </w:tcPr>
          <w:p w14:paraId="1F3116E5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3BEBCE1">
            <w:pPr>
              <w:widowControl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建筑结构与围护结构后期运营可靠性管理记录</w:t>
            </w:r>
          </w:p>
        </w:tc>
        <w:tc>
          <w:tcPr>
            <w:tcW w:w="3665" w:type="dxa"/>
            <w:shd w:val="clear" w:color="auto" w:fill="auto"/>
            <w:noWrap/>
            <w:vAlign w:val="center"/>
          </w:tcPr>
          <w:p w14:paraId="656A4E8A"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应包括定期查验记录与维修记录等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18791545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3B4C3C7C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</w:t>
            </w:r>
          </w:p>
          <w:p w14:paraId="4FBBA33B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14:paraId="5D696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continue"/>
            <w:shd w:val="clear" w:color="auto" w:fill="auto"/>
            <w:noWrap/>
            <w:vAlign w:val="center"/>
          </w:tcPr>
          <w:p w14:paraId="0E6C156F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3BE0945">
            <w:pPr>
              <w:widowControl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竣工验收合格证明</w:t>
            </w:r>
          </w:p>
        </w:tc>
        <w:tc>
          <w:tcPr>
            <w:tcW w:w="3665" w:type="dxa"/>
            <w:shd w:val="clear" w:color="auto" w:fill="auto"/>
            <w:noWrap/>
            <w:vAlign w:val="center"/>
          </w:tcPr>
          <w:p w14:paraId="78E2F483"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应包括完成设计项目情况、试验报告等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4B224809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709FAEB6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</w:t>
            </w:r>
          </w:p>
          <w:p w14:paraId="4029FD46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</w:tbl>
    <w:p w14:paraId="20A17058">
      <w:pPr>
        <w:spacing w:before="200"/>
        <w:rPr>
          <w:b/>
          <w:szCs w:val="21"/>
        </w:rPr>
      </w:pPr>
      <w:r>
        <w:rPr>
          <w:b/>
          <w:szCs w:val="21"/>
        </w:rPr>
        <w:t>实际提交材料：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BC50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tbl>
            <w:tblPr>
              <w:tblStyle w:val="6"/>
              <w:tblW w:w="837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4"/>
              <w:gridCol w:w="1951"/>
              <w:gridCol w:w="3599"/>
              <w:gridCol w:w="1172"/>
              <w:gridCol w:w="860"/>
            </w:tblGrid>
            <w:tr w14:paraId="0FA52DC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tblHeader/>
                <w:jc w:val="center"/>
              </w:trPr>
              <w:tc>
                <w:tcPr>
                  <w:tcW w:w="724" w:type="dxa"/>
                  <w:shd w:val="clear" w:color="DBE5F1" w:fill="DBE5F1"/>
                  <w:noWrap/>
                  <w:vAlign w:val="center"/>
                </w:tcPr>
                <w:p w14:paraId="08C69E04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专业分类</w:t>
                  </w:r>
                </w:p>
              </w:tc>
              <w:tc>
                <w:tcPr>
                  <w:tcW w:w="1985" w:type="dxa"/>
                  <w:shd w:val="clear" w:color="DBE5F1" w:fill="DBE5F1"/>
                  <w:vAlign w:val="center"/>
                </w:tcPr>
                <w:p w14:paraId="1B80EB35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材料名称</w:t>
                  </w:r>
                </w:p>
              </w:tc>
              <w:tc>
                <w:tcPr>
                  <w:tcW w:w="3665" w:type="dxa"/>
                  <w:shd w:val="clear" w:color="DBE5F1" w:fill="DBE5F1"/>
                  <w:vAlign w:val="center"/>
                </w:tcPr>
                <w:p w14:paraId="0B38DD55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技术要求</w:t>
                  </w:r>
                </w:p>
              </w:tc>
              <w:tc>
                <w:tcPr>
                  <w:tcW w:w="1191" w:type="dxa"/>
                  <w:shd w:val="clear" w:color="DBE5F1" w:fill="DBE5F1"/>
                  <w:noWrap/>
                  <w:vAlign w:val="center"/>
                </w:tcPr>
                <w:p w14:paraId="09F28A53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评价阶段</w:t>
                  </w:r>
                </w:p>
              </w:tc>
              <w:tc>
                <w:tcPr>
                  <w:tcW w:w="871" w:type="dxa"/>
                  <w:shd w:val="clear" w:color="DBE5F1" w:fill="DBE5F1"/>
                  <w:noWrap/>
                  <w:vAlign w:val="center"/>
                </w:tcPr>
                <w:p w14:paraId="162681E1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建筑类型</w:t>
                  </w:r>
                </w:p>
              </w:tc>
            </w:tr>
            <w:tr w14:paraId="54748DD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24" w:type="dxa"/>
                  <w:vMerge w:val="restart"/>
                  <w:shd w:val="clear" w:color="auto" w:fill="auto"/>
                  <w:noWrap/>
                  <w:vAlign w:val="center"/>
                </w:tcPr>
                <w:p w14:paraId="1B8FE9A3">
                  <w:pPr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建筑设计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</w:tcPr>
                <w:p w14:paraId="73D6240C">
                  <w:pPr>
                    <w:widowControl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建筑设计图</w:t>
                  </w:r>
                </w:p>
              </w:tc>
              <w:tc>
                <w:tcPr>
                  <w:tcW w:w="3665" w:type="dxa"/>
                  <w:shd w:val="clear" w:color="auto" w:fill="auto"/>
                  <w:noWrap/>
                  <w:vAlign w:val="center"/>
                </w:tcPr>
                <w:p w14:paraId="58556E42">
                  <w:pPr>
                    <w:widowControl/>
                    <w:rPr>
                      <w:rFonts w:cs="宋体" w:eastAsiaTheme="minor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0"/>
                      <w:szCs w:val="20"/>
                    </w:rPr>
                    <w:t>应注明标高</w:t>
                  </w:r>
                </w:p>
              </w:tc>
              <w:tc>
                <w:tcPr>
                  <w:tcW w:w="1191" w:type="dxa"/>
                  <w:shd w:val="clear" w:color="auto" w:fill="auto"/>
                  <w:noWrap/>
                  <w:vAlign w:val="center"/>
                </w:tcPr>
                <w:p w14:paraId="347896BD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预评价</w:t>
                  </w:r>
                </w:p>
              </w:tc>
              <w:tc>
                <w:tcPr>
                  <w:tcW w:w="871" w:type="dxa"/>
                  <w:shd w:val="clear" w:color="auto" w:fill="auto"/>
                  <w:noWrap/>
                  <w:vAlign w:val="center"/>
                </w:tcPr>
                <w:p w14:paraId="34DF89B6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bookmarkStart w:id="0" w:name="_GoBack"/>
                  <w:bookmarkEnd w:id="0"/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公建</w:t>
                  </w:r>
                </w:p>
              </w:tc>
            </w:tr>
            <w:tr w14:paraId="6B92BB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24" w:type="dxa"/>
                  <w:vMerge w:val="continue"/>
                  <w:shd w:val="clear" w:color="auto" w:fill="auto"/>
                  <w:noWrap/>
                  <w:vAlign w:val="center"/>
                </w:tcPr>
                <w:p w14:paraId="3C255884">
                  <w:pPr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</w:tcPr>
                <w:p w14:paraId="6134271D">
                  <w:pPr>
                    <w:widowControl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结构设计说明书</w:t>
                  </w:r>
                </w:p>
              </w:tc>
              <w:tc>
                <w:tcPr>
                  <w:tcW w:w="3665" w:type="dxa"/>
                  <w:shd w:val="clear" w:color="auto" w:fill="auto"/>
                  <w:noWrap/>
                  <w:vAlign w:val="center"/>
                </w:tcPr>
                <w:p w14:paraId="5486D1B7">
                  <w:pPr>
                    <w:widowControl/>
                    <w:rPr>
                      <w:rFonts w:cs="宋体" w:eastAsiaTheme="minor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0"/>
                      <w:szCs w:val="20"/>
                    </w:rPr>
                    <w:t>应规定明确的标志或限制要求</w:t>
                  </w:r>
                </w:p>
              </w:tc>
              <w:tc>
                <w:tcPr>
                  <w:tcW w:w="1191" w:type="dxa"/>
                  <w:shd w:val="clear" w:color="auto" w:fill="auto"/>
                  <w:noWrap/>
                  <w:vAlign w:val="center"/>
                </w:tcPr>
                <w:p w14:paraId="35862A18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预评价</w:t>
                  </w:r>
                </w:p>
              </w:tc>
              <w:tc>
                <w:tcPr>
                  <w:tcW w:w="871" w:type="dxa"/>
                  <w:shd w:val="clear" w:color="auto" w:fill="auto"/>
                  <w:noWrap/>
                  <w:vAlign w:val="center"/>
                </w:tcPr>
                <w:p w14:paraId="1F693016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公建</w:t>
                  </w:r>
                </w:p>
              </w:tc>
            </w:tr>
            <w:tr w14:paraId="0F0C8A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24" w:type="dxa"/>
                  <w:vMerge w:val="continue"/>
                  <w:shd w:val="clear" w:color="auto" w:fill="auto"/>
                  <w:noWrap/>
                  <w:vAlign w:val="center"/>
                </w:tcPr>
                <w:p w14:paraId="43D00B99">
                  <w:pPr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</w:tcPr>
                <w:p w14:paraId="44CC0201">
                  <w:pPr>
                    <w:widowControl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主体与围护结构计算书</w:t>
                  </w:r>
                </w:p>
              </w:tc>
              <w:tc>
                <w:tcPr>
                  <w:tcW w:w="3665" w:type="dxa"/>
                  <w:shd w:val="clear" w:color="auto" w:fill="auto"/>
                  <w:noWrap/>
                  <w:vAlign w:val="center"/>
                </w:tcPr>
                <w:p w14:paraId="12C57283">
                  <w:pPr>
                    <w:widowControl/>
                    <w:rPr>
                      <w:rFonts w:cs="宋体" w:eastAsiaTheme="minor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0"/>
                      <w:szCs w:val="20"/>
                    </w:rPr>
                    <w:t>应说明建筑围护结构详细做法</w:t>
                  </w:r>
                </w:p>
              </w:tc>
              <w:tc>
                <w:tcPr>
                  <w:tcW w:w="1191" w:type="dxa"/>
                  <w:shd w:val="clear" w:color="auto" w:fill="auto"/>
                  <w:noWrap/>
                  <w:vAlign w:val="center"/>
                </w:tcPr>
                <w:p w14:paraId="17F9956D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预评价</w:t>
                  </w:r>
                </w:p>
              </w:tc>
              <w:tc>
                <w:tcPr>
                  <w:tcW w:w="871" w:type="dxa"/>
                  <w:shd w:val="clear" w:color="auto" w:fill="auto"/>
                  <w:noWrap/>
                  <w:vAlign w:val="center"/>
                </w:tcPr>
                <w:p w14:paraId="23E6A9B8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公建</w:t>
                  </w:r>
                </w:p>
              </w:tc>
            </w:tr>
            <w:tr w14:paraId="4F1892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24" w:type="dxa"/>
                  <w:vMerge w:val="continue"/>
                  <w:shd w:val="clear" w:color="auto" w:fill="auto"/>
                  <w:noWrap/>
                  <w:vAlign w:val="center"/>
                </w:tcPr>
                <w:p w14:paraId="209FF0EC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</w:tcPr>
                <w:p w14:paraId="09AE3635">
                  <w:pPr>
                    <w:widowControl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主要结构用材料的检测报告</w:t>
                  </w:r>
                </w:p>
              </w:tc>
              <w:tc>
                <w:tcPr>
                  <w:tcW w:w="3665" w:type="dxa"/>
                  <w:shd w:val="clear" w:color="auto" w:fill="auto"/>
                  <w:noWrap/>
                  <w:vAlign w:val="center"/>
                </w:tcPr>
                <w:p w14:paraId="69EFE0DE">
                  <w:pPr>
                    <w:widowControl/>
                    <w:rPr>
                      <w:rFonts w:cs="宋体" w:eastAsiaTheme="minor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0"/>
                      <w:szCs w:val="20"/>
                    </w:rPr>
                    <w:t>应包括幕墙气密性、水密性能、抗风压性能和平面内变形性能检测报告等</w:t>
                  </w:r>
                </w:p>
              </w:tc>
              <w:tc>
                <w:tcPr>
                  <w:tcW w:w="1191" w:type="dxa"/>
                  <w:shd w:val="clear" w:color="auto" w:fill="auto"/>
                  <w:noWrap/>
                  <w:vAlign w:val="center"/>
                </w:tcPr>
                <w:p w14:paraId="4CCC2A01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运行评价</w:t>
                  </w:r>
                </w:p>
              </w:tc>
              <w:tc>
                <w:tcPr>
                  <w:tcW w:w="871" w:type="dxa"/>
                  <w:shd w:val="clear" w:color="auto" w:fill="auto"/>
                  <w:noWrap/>
                  <w:vAlign w:val="center"/>
                </w:tcPr>
                <w:p w14:paraId="25BCA8D4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公建</w:t>
                  </w:r>
                </w:p>
              </w:tc>
            </w:tr>
            <w:tr w14:paraId="3C9A94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24" w:type="dxa"/>
                  <w:vMerge w:val="restart"/>
                  <w:shd w:val="clear" w:color="auto" w:fill="auto"/>
                  <w:noWrap/>
                  <w:vAlign w:val="center"/>
                </w:tcPr>
                <w:p w14:paraId="3DA84AE9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</w:tcPr>
                <w:p w14:paraId="6760012C">
                  <w:pPr>
                    <w:widowControl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665" w:type="dxa"/>
                  <w:shd w:val="clear" w:color="auto" w:fill="auto"/>
                  <w:noWrap/>
                  <w:vAlign w:val="center"/>
                </w:tcPr>
                <w:p w14:paraId="0D9BFE37">
                  <w:pPr>
                    <w:widowControl/>
                    <w:rPr>
                      <w:rFonts w:cs="宋体" w:eastAsiaTheme="minorEastAsia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shd w:val="clear" w:color="auto" w:fill="auto"/>
                  <w:noWrap/>
                  <w:vAlign w:val="center"/>
                </w:tcPr>
                <w:p w14:paraId="7F6CD72A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shd w:val="clear" w:color="auto" w:fill="auto"/>
                  <w:noWrap/>
                  <w:vAlign w:val="center"/>
                </w:tcPr>
                <w:p w14:paraId="6A752B73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4597F57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24" w:type="dxa"/>
                  <w:vMerge w:val="continue"/>
                  <w:shd w:val="clear" w:color="auto" w:fill="auto"/>
                  <w:noWrap/>
                  <w:vAlign w:val="center"/>
                </w:tcPr>
                <w:p w14:paraId="1076353F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</w:tcPr>
                <w:p w14:paraId="0DE62B02">
                  <w:pPr>
                    <w:widowControl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665" w:type="dxa"/>
                  <w:shd w:val="clear" w:color="auto" w:fill="auto"/>
                  <w:noWrap/>
                  <w:vAlign w:val="center"/>
                </w:tcPr>
                <w:p w14:paraId="001BCE66">
                  <w:pPr>
                    <w:widowControl/>
                    <w:rPr>
                      <w:rFonts w:cs="宋体" w:eastAsiaTheme="minorEastAsia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shd w:val="clear" w:color="auto" w:fill="auto"/>
                  <w:noWrap/>
                  <w:vAlign w:val="center"/>
                </w:tcPr>
                <w:p w14:paraId="71930F60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shd w:val="clear" w:color="auto" w:fill="auto"/>
                  <w:noWrap/>
                  <w:vAlign w:val="center"/>
                </w:tcPr>
                <w:p w14:paraId="16E160E1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60F71612">
            <w:pPr>
              <w:rPr>
                <w:kern w:val="0"/>
                <w:sz w:val="20"/>
                <w:szCs w:val="21"/>
              </w:rPr>
            </w:pPr>
          </w:p>
        </w:tc>
      </w:tr>
    </w:tbl>
    <w:p w14:paraId="5438CB82">
      <w:pPr>
        <w:rPr>
          <w:szCs w:val="21"/>
        </w:rPr>
      </w:pPr>
    </w:p>
    <w:p w14:paraId="21CD0FD0">
      <w:pPr>
        <w:rPr>
          <w:rFonts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1915FC"/>
    <w:multiLevelType w:val="multilevel"/>
    <w:tmpl w:val="1C1915FC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6F1248"/>
    <w:multiLevelType w:val="multilevel"/>
    <w:tmpl w:val="576F124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01"/>
    <w:rsid w:val="00005949"/>
    <w:rsid w:val="00063601"/>
    <w:rsid w:val="000C12AE"/>
    <w:rsid w:val="0018462F"/>
    <w:rsid w:val="00321ADB"/>
    <w:rsid w:val="003B292B"/>
    <w:rsid w:val="00806CD4"/>
    <w:rsid w:val="00811D23"/>
    <w:rsid w:val="00882481"/>
    <w:rsid w:val="00993C75"/>
    <w:rsid w:val="00A15882"/>
    <w:rsid w:val="00A80A3C"/>
    <w:rsid w:val="00B1535D"/>
    <w:rsid w:val="00B5600F"/>
    <w:rsid w:val="00BA14DA"/>
    <w:rsid w:val="00EA6919"/>
    <w:rsid w:val="00EE3918"/>
    <w:rsid w:val="00FB0A63"/>
    <w:rsid w:val="6A39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2"/>
    <w:next w:val="1"/>
    <w:link w:val="11"/>
    <w:qFormat/>
    <w:uiPriority w:val="0"/>
    <w:pPr>
      <w:snapToGrid w:val="0"/>
      <w:spacing w:before="120" w:after="120" w:line="240" w:lineRule="auto"/>
      <w:jc w:val="left"/>
      <w:outlineLvl w:val="2"/>
    </w:pPr>
    <w:rPr>
      <w:rFonts w:ascii="黑体" w:hAnsi="黑体" w:eastAsia="黑体" w:cs="Times New Roman"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3 Char"/>
    <w:basedOn w:val="8"/>
    <w:link w:val="3"/>
    <w:qFormat/>
    <w:uiPriority w:val="0"/>
    <w:rPr>
      <w:rFonts w:ascii="黑体" w:hAnsi="黑体" w:eastAsia="黑体" w:cs="Times New Roman"/>
      <w:b/>
      <w:bCs/>
      <w:kern w:val="0"/>
      <w:sz w:val="24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3">
    <w:name w:val="标题 2 Char"/>
    <w:basedOn w:val="8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14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733</Characters>
  <Lines>5</Lines>
  <Paragraphs>1</Paragraphs>
  <TotalTime>1</TotalTime>
  <ScaleCrop>false</ScaleCrop>
  <LinksUpToDate>false</LinksUpToDate>
  <CharactersWithSpaces>741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2020-06-02T08:56:00Z</dcterms:created>
  <dc:creator>dongYP</dc:creator>
  <cp:lastModifiedBy>清</cp:lastModifiedBy>
  <dcterms:modified xsi:type="dcterms:W3CDTF">2025-03-13T08:12:36Z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eyJoZGlkIjoiMTJkYTM2ODYxNGRkOWUxYzA3NGM4Y2M1ODhjZDcyNjkiLCJ1c2VySWQiOiIxMjU4NTI1MjM2In0=</vt:lpwstr>
  </property>
  <property fmtid="{D5CDD505-2E9C-101B-9397-08002B2CF9AE}" pid="3" name="KSOProductBuildVer">
    <vt:lpwstr>2052-12.1.0.20305</vt:lpwstr>
  </property>
  <property fmtid="{D5CDD505-2E9C-101B-9397-08002B2CF9AE}" pid="4" name="ICV">
    <vt:lpwstr>ABB06EEB734743FB88233C1DC2F0C614_12</vt:lpwstr>
  </property>
</Properties>
</file>