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4E93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6.1.</w:t>
      </w:r>
      <w:r>
        <w:rPr>
          <w:rFonts w:hint="eastAsia" w:ascii="Times New Roman" w:hAnsi="Times New Roman" w:eastAsiaTheme="minorEastAsia"/>
        </w:rPr>
        <w:t>3停车场应具有电动汽车充电设施或具备充电设施的安装条件，并应合理设置电动汽车和无障碍汽车停车位。</w:t>
      </w:r>
    </w:p>
    <w:p w14:paraId="7D661CCC">
      <w:pPr>
        <w:numPr>
          <w:ilvl w:val="0"/>
          <w:numId w:val="1"/>
        </w:numPr>
        <w:spacing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达标自评</w:t>
      </w:r>
    </w:p>
    <w:p w14:paraId="6B26D181">
      <w:pPr>
        <w:spacing w:line="288" w:lineRule="auto"/>
        <w:rPr>
          <w:rFonts w:eastAsiaTheme="minorEastAsia"/>
          <w:szCs w:val="21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szCs w:val="21"/>
        </w:rPr>
        <w:t>达标</w:t>
      </w:r>
      <w:r>
        <w:rPr>
          <w:rFonts w:hint="eastAsia" w:cs="宋体" w:eastAsiaTheme="minorEastAsia"/>
          <w:lang w:val="zh-CN"/>
        </w:rPr>
        <w:t>；</w:t>
      </w:r>
      <w:sdt>
        <w:sdtPr>
          <w:rPr>
            <w:rFonts w:hint="eastAsia" w:eastAsiaTheme="minorEastAsia"/>
            <w:sz w:val="28"/>
          </w:rPr>
          <w:id w:val="-8871053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szCs w:val="21"/>
        </w:rPr>
        <w:t>不达标</w:t>
      </w:r>
    </w:p>
    <w:p w14:paraId="282F5C4C"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评价要点</w:t>
      </w:r>
    </w:p>
    <w:p w14:paraId="55E9E16C">
      <w:pPr>
        <w:pStyle w:val="14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电动车停车设施</w:t>
      </w:r>
    </w:p>
    <w:p w14:paraId="061775C1">
      <w:pPr>
        <w:spacing w:line="288" w:lineRule="auto"/>
        <w:rPr>
          <w:rFonts w:eastAsiaTheme="minorEastAsia"/>
          <w:b/>
          <w:lang w:val="zh-CN"/>
        </w:rPr>
      </w:pPr>
      <w:r>
        <w:rPr>
          <w:rFonts w:hint="eastAsia" w:eastAsiaTheme="minorEastAsia"/>
        </w:rPr>
        <w:t>是否具有电动汽车充电设施或具备充电设施的安装条件</w:t>
      </w:r>
      <w:r>
        <w:rPr>
          <w:rFonts w:hint="eastAsia" w:eastAsiaTheme="minorEastAsia"/>
          <w:kern w:val="0"/>
        </w:rPr>
        <w:t>：</w:t>
      </w:r>
      <w:sdt>
        <w:sdtPr>
          <w:rPr>
            <w:rFonts w:hint="eastAsia" w:eastAsiaTheme="minorEastAsia"/>
            <w:sz w:val="28"/>
          </w:rPr>
          <w:id w:val="118578971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kern w:val="0"/>
        </w:rPr>
        <w:t>是、</w:t>
      </w:r>
      <w:sdt>
        <w:sdtPr>
          <w:rPr>
            <w:rFonts w:hint="eastAsia" w:eastAsiaTheme="minorEastAsia"/>
            <w:sz w:val="28"/>
          </w:rPr>
          <w:id w:val="-19830731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否</w:t>
      </w:r>
    </w:p>
    <w:p w14:paraId="5F87919E">
      <w:pPr>
        <w:spacing w:line="288" w:lineRule="auto"/>
        <w:rPr>
          <w:rFonts w:eastAsiaTheme="minorEastAsia"/>
          <w:color w:val="FF0000"/>
          <w:kern w:val="0"/>
        </w:rPr>
      </w:pPr>
      <w:r>
        <w:rPr>
          <w:rFonts w:hint="eastAsia" w:eastAsiaTheme="minorEastAsia"/>
          <w:kern w:val="0"/>
        </w:rPr>
        <w:t>停车方式节约集约用地：</w:t>
      </w:r>
      <w:sdt>
        <w:sdtPr>
          <w:rPr>
            <w:rFonts w:hint="eastAsia" w:eastAsiaTheme="minorEastAsia"/>
            <w:sz w:val="28"/>
          </w:rPr>
          <w:id w:val="-153633877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机械式停车库、</w:t>
      </w:r>
      <w:sdt>
        <w:sdtPr>
          <w:rPr>
            <w:rFonts w:hint="eastAsia" w:eastAsiaTheme="minorEastAsia"/>
            <w:sz w:val="28"/>
          </w:rPr>
          <w:id w:val="210599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地下停车库、</w:t>
      </w:r>
      <w:sdt>
        <w:sdtPr>
          <w:rPr>
            <w:rFonts w:hint="eastAsia" w:eastAsiaTheme="minorEastAsia"/>
            <w:sz w:val="28"/>
          </w:rPr>
          <w:id w:val="84784239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停车楼、</w:t>
      </w:r>
      <w:sdt>
        <w:sdtPr>
          <w:rPr>
            <w:rFonts w:hint="eastAsia" w:eastAsiaTheme="minorEastAsia"/>
            <w:sz w:val="28"/>
          </w:rPr>
          <w:id w:val="-134824288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kern w:val="0"/>
        </w:rPr>
        <w:t>其他方式</w:t>
      </w:r>
    </w:p>
    <w:p w14:paraId="3D1E1EAE">
      <w:pPr>
        <w:spacing w:line="288" w:lineRule="auto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采用错时停车方式向社会开放：</w:t>
      </w:r>
      <w:sdt>
        <w:sdtPr>
          <w:rPr>
            <w:rFonts w:hint="eastAsia" w:eastAsiaTheme="minorEastAsia"/>
            <w:sz w:val="28"/>
          </w:rPr>
          <w:id w:val="9611449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是、</w:t>
      </w:r>
      <w:sdt>
        <w:sdtPr>
          <w:rPr>
            <w:rFonts w:hint="eastAsia" w:eastAsiaTheme="minorEastAsia"/>
            <w:sz w:val="28"/>
          </w:rPr>
          <w:id w:val="183888639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kern w:val="0"/>
        </w:rPr>
        <w:t>否（原因</w:t>
      </w:r>
      <w:r>
        <w:rPr>
          <w:rFonts w:eastAsiaTheme="minorEastAsia"/>
          <w:kern w:val="0"/>
        </w:rPr>
        <w:t>________</w:t>
      </w:r>
      <w:r>
        <w:rPr>
          <w:rFonts w:hint="eastAsia" w:eastAsiaTheme="minorEastAsia"/>
          <w:kern w:val="0"/>
          <w:lang w:val="en-US" w:eastAsia="zh-CN"/>
        </w:rPr>
        <w:t>大学校园内</w:t>
      </w:r>
      <w:r>
        <w:rPr>
          <w:rFonts w:eastAsiaTheme="minorEastAsia"/>
          <w:kern w:val="0"/>
        </w:rPr>
        <w:t>_____________</w:t>
      </w:r>
      <w:r>
        <w:rPr>
          <w:rFonts w:hint="eastAsia" w:eastAsiaTheme="minorEastAsia"/>
          <w:kern w:val="0"/>
        </w:rPr>
        <w:t>）</w:t>
      </w:r>
    </w:p>
    <w:p w14:paraId="7F6B239A">
      <w:pPr>
        <w:spacing w:line="288" w:lineRule="auto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地面停车设计合理，不挤占步行空间及活动场所：</w:t>
      </w:r>
      <w:sdt>
        <w:sdtPr>
          <w:rPr>
            <w:rFonts w:hint="eastAsia" w:eastAsiaTheme="minorEastAsia"/>
            <w:sz w:val="28"/>
          </w:rPr>
          <w:id w:val="103700837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是、</w:t>
      </w:r>
      <w:sdt>
        <w:sdtPr>
          <w:rPr>
            <w:rFonts w:hint="eastAsia" w:eastAsiaTheme="minorEastAsia"/>
            <w:sz w:val="28"/>
          </w:rPr>
          <w:id w:val="-59393561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否</w:t>
      </w:r>
    </w:p>
    <w:p w14:paraId="5698A043">
      <w:pPr>
        <w:spacing w:line="288" w:lineRule="auto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机动车停车位数量：</w:t>
      </w:r>
      <w:r>
        <w:rPr>
          <w:rFonts w:eastAsiaTheme="minorEastAsia"/>
          <w:kern w:val="0"/>
        </w:rPr>
        <w:t>_</w:t>
      </w:r>
      <w:r>
        <w:rPr>
          <w:rFonts w:hint="eastAsia" w:eastAsiaTheme="minorEastAsia"/>
          <w:kern w:val="0"/>
          <w:lang w:val="en-US" w:eastAsia="zh-CN"/>
        </w:rPr>
        <w:t>4</w:t>
      </w:r>
      <w:r>
        <w:rPr>
          <w:rFonts w:eastAsiaTheme="minorEastAsia"/>
          <w:kern w:val="0"/>
        </w:rPr>
        <w:t>___</w:t>
      </w:r>
      <w:r>
        <w:rPr>
          <w:rFonts w:hint="eastAsia" w:eastAsiaTheme="minorEastAsia"/>
          <w:kern w:val="0"/>
        </w:rPr>
        <w:t>个</w:t>
      </w:r>
    </w:p>
    <w:p w14:paraId="364E87E6">
      <w:pPr>
        <w:spacing w:line="288" w:lineRule="auto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规划条件中要求的数量</w:t>
      </w:r>
      <w:r>
        <w:rPr>
          <w:rFonts w:eastAsiaTheme="minorEastAsia"/>
          <w:kern w:val="0"/>
        </w:rPr>
        <w:t>__</w:t>
      </w:r>
      <w:r>
        <w:rPr>
          <w:rFonts w:hint="eastAsia" w:eastAsiaTheme="minorEastAsia"/>
          <w:kern w:val="0"/>
          <w:lang w:val="en-US" w:eastAsia="zh-CN"/>
        </w:rPr>
        <w:t>0</w:t>
      </w:r>
      <w:r>
        <w:rPr>
          <w:rFonts w:eastAsiaTheme="minorEastAsia"/>
          <w:kern w:val="0"/>
        </w:rPr>
        <w:t>__</w:t>
      </w:r>
      <w:r>
        <w:rPr>
          <w:rFonts w:hint="eastAsia" w:eastAsiaTheme="minorEastAsia"/>
          <w:kern w:val="0"/>
        </w:rPr>
        <w:t>个，设计数量</w:t>
      </w:r>
      <w:r>
        <w:rPr>
          <w:rFonts w:eastAsiaTheme="minorEastAsia"/>
          <w:kern w:val="0"/>
        </w:rPr>
        <w:t>___</w:t>
      </w:r>
      <w:r>
        <w:rPr>
          <w:rFonts w:hint="eastAsia" w:eastAsiaTheme="minorEastAsia"/>
          <w:kern w:val="0"/>
          <w:lang w:val="en-US" w:eastAsia="zh-CN"/>
        </w:rPr>
        <w:t>0</w:t>
      </w:r>
      <w:r>
        <w:rPr>
          <w:rFonts w:eastAsiaTheme="minorEastAsia"/>
          <w:kern w:val="0"/>
        </w:rPr>
        <w:t>_</w:t>
      </w:r>
      <w:r>
        <w:rPr>
          <w:rFonts w:hint="eastAsia" w:eastAsiaTheme="minorEastAsia"/>
          <w:kern w:val="0"/>
        </w:rPr>
        <w:t>个</w:t>
      </w:r>
    </w:p>
    <w:p w14:paraId="241AF92F">
      <w:pPr>
        <w:pStyle w:val="13"/>
        <w:spacing w:line="288" w:lineRule="auto"/>
        <w:outlineLvl w:val="9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简要说明电动车停车位设置、停车方式、停车场管理等。（</w:t>
      </w:r>
      <w:r>
        <w:rPr>
          <w:rFonts w:eastAsiaTheme="minorEastAsia"/>
          <w:sz w:val="21"/>
          <w:szCs w:val="21"/>
        </w:rPr>
        <w:t>300</w:t>
      </w:r>
      <w:r>
        <w:rPr>
          <w:rFonts w:hint="eastAsia" w:eastAsiaTheme="minorEastAsia"/>
          <w:sz w:val="21"/>
          <w:szCs w:val="21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26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522" w:type="dxa"/>
          </w:tcPr>
          <w:p w14:paraId="1C20EDDC">
            <w:pPr>
              <w:pStyle w:val="13"/>
              <w:spacing w:line="288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本项目机动车与非机动车均采用全地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eastAsiaTheme="minorEastAsia"/>
                <w:sz w:val="21"/>
                <w:szCs w:val="21"/>
              </w:rPr>
              <w:t>的方式，地面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有充足</w:t>
            </w:r>
            <w:r>
              <w:rPr>
                <w:rFonts w:hint="eastAsia" w:eastAsiaTheme="minorEastAsia"/>
                <w:sz w:val="21"/>
                <w:szCs w:val="21"/>
              </w:rPr>
              <w:t>绿化用地及公共活动用地，不会挤占地上步行空间活动场所。</w:t>
            </w:r>
          </w:p>
          <w:p w14:paraId="3D5F88FE">
            <w:pPr>
              <w:pStyle w:val="13"/>
              <w:spacing w:line="288" w:lineRule="auto"/>
              <w:ind w:firstLine="420" w:firstLineChars="200"/>
              <w:outlineLvl w:val="9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 本项目设置有车辆管理系统，采用基于TCP/IP智能化设备网的IP数字一卡通系统，每个小区出入口均为一进一出，小区出入岗亭设置管理电脑，入口主机配置临时发卡器，卡片回收由人员手动完成。</w:t>
            </w:r>
          </w:p>
          <w:p w14:paraId="143E7058">
            <w:pPr>
              <w:pStyle w:val="13"/>
              <w:spacing w:line="288" w:lineRule="auto"/>
              <w:ind w:firstLine="420" w:firstLineChars="200"/>
              <w:outlineLvl w:val="9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本项目自行车停车设置于办公楼西侧，停车区面积200㎡，设有遮阳防雨措施，可容纳215辆非机动车。</w:t>
            </w:r>
          </w:p>
          <w:p w14:paraId="6B330123">
            <w:pPr>
              <w:pStyle w:val="13"/>
              <w:spacing w:line="288" w:lineRule="auto"/>
              <w:ind w:firstLine="420" w:firstLineChars="200"/>
              <w:outlineLvl w:val="9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本项目自行车停车设置于地下一层，停车区面积200㎡，可容纳230辆非机动车。</w:t>
            </w:r>
          </w:p>
          <w:p w14:paraId="133D9A50">
            <w:pPr>
              <w:pStyle w:val="13"/>
              <w:spacing w:line="288" w:lineRule="auto"/>
              <w:ind w:firstLine="420" w:firstLineChars="200"/>
              <w:outlineLvl w:val="9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本项目设置有地面停车位，用于工作人员日常交通的停车需求，停车库节假日对社会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eastAsiaTheme="minorEastAsia"/>
                <w:sz w:val="21"/>
                <w:szCs w:val="21"/>
              </w:rPr>
              <w:t>开放。</w:t>
            </w:r>
          </w:p>
          <w:p w14:paraId="6FF8EF72">
            <w:pPr>
              <w:pStyle w:val="13"/>
              <w:spacing w:line="288" w:lineRule="auto"/>
              <w:ind w:firstLine="420" w:firstLineChars="200"/>
              <w:outlineLvl w:val="9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1034C1DF"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证明材料</w:t>
      </w:r>
    </w:p>
    <w:p w14:paraId="2D4B9A8F"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99"/>
        <w:gridCol w:w="3608"/>
        <w:gridCol w:w="1181"/>
        <w:gridCol w:w="796"/>
      </w:tblGrid>
      <w:tr w14:paraId="4369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08C4178D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78D8CD0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D68C40E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E895652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0024EAEB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7906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68E9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F213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建筑施工图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CCF6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应包括电动汽车停车位和无障碍停车位设计内容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465C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7241D20E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7E43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09FE8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84B2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电气设计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CE4B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电气施工图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E426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应体现充电设施条件、配电系统要求、布线系统要求、计量要求等设计内容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E611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5DC97784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878A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7B407946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A1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3" w:hRule="atLeast"/>
          <w:jc w:val="center"/>
        </w:trPr>
        <w:tc>
          <w:tcPr>
            <w:tcW w:w="9356" w:type="dxa"/>
          </w:tcPr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"/>
              <w:gridCol w:w="1999"/>
              <w:gridCol w:w="3608"/>
              <w:gridCol w:w="1181"/>
              <w:gridCol w:w="796"/>
            </w:tblGrid>
            <w:tr w14:paraId="11313E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412DD221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434AABB4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79117534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9DD7053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64D13AF2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4E96D6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5705C6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建筑设计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A907D4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建筑施工图</w:t>
                  </w: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3937EA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应包括电动汽车停车位和无障碍停车位设计内容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AD22E9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  <w:bookmarkStart w:id="0" w:name="_GoBack"/>
                  <w:bookmarkEnd w:id="0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28E996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7FD269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329500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电气设计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4070B2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电气施工图</w:t>
                  </w: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CA7953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应体现充电设施条件、配电系统要求、布线系统要求、计量要求等设计内容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BB757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0E4FCF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</w:tbl>
          <w:p w14:paraId="2DCA36C6">
            <w:pPr>
              <w:rPr>
                <w:kern w:val="0"/>
                <w:sz w:val="20"/>
                <w:szCs w:val="21"/>
              </w:rPr>
            </w:pPr>
          </w:p>
        </w:tc>
      </w:tr>
    </w:tbl>
    <w:p w14:paraId="6C3AE695"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74B34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C26E60"/>
    <w:multiLevelType w:val="multilevel"/>
    <w:tmpl w:val="54C26E6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71"/>
    <w:rsid w:val="00023F71"/>
    <w:rsid w:val="001041EF"/>
    <w:rsid w:val="00132583"/>
    <w:rsid w:val="00397B33"/>
    <w:rsid w:val="004826AA"/>
    <w:rsid w:val="005A3114"/>
    <w:rsid w:val="0062506D"/>
    <w:rsid w:val="006E2A76"/>
    <w:rsid w:val="007131A2"/>
    <w:rsid w:val="008B2808"/>
    <w:rsid w:val="00961514"/>
    <w:rsid w:val="009E36EA"/>
    <w:rsid w:val="00B96143"/>
    <w:rsid w:val="00D9462F"/>
    <w:rsid w:val="00DA604E"/>
    <w:rsid w:val="00E50326"/>
    <w:rsid w:val="5D9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2">
    <w:name w:val="条文 Char"/>
    <w:link w:val="13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条文"/>
    <w:basedOn w:val="1"/>
    <w:link w:val="12"/>
    <w:uiPriority w:val="99"/>
    <w:pPr>
      <w:spacing w:line="300" w:lineRule="auto"/>
      <w:outlineLvl w:val="2"/>
    </w:pPr>
    <w:rPr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5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6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722</Characters>
  <Lines>5</Lines>
  <Paragraphs>1</Paragraphs>
  <TotalTime>1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2020-06-04T02:12:00Z</dcterms:created>
  <dc:creator>dongYP</dc:creator>
  <cp:lastModifiedBy>清</cp:lastModifiedBy>
  <dcterms:modified xsi:type="dcterms:W3CDTF">2025-03-13T12:22:47Z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70CFB849A327453689A0FA4FDD21C4A3_12</vt:lpwstr>
  </property>
</Properties>
</file>