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43B4D">
      <w:pPr>
        <w:spacing w:line="180" w:lineRule="atLeast"/>
        <w:rPr>
          <w:rFonts w:ascii="宋体" w:hAnsi="宋体"/>
          <w:b/>
          <w:bCs/>
          <w:sz w:val="32"/>
          <w:szCs w:val="32"/>
        </w:rPr>
      </w:pPr>
      <w:bookmarkStart w:id="29" w:name="_GoBack"/>
      <w:bookmarkEnd w:id="29"/>
    </w:p>
    <w:p w14:paraId="38F8BA63">
      <w:pPr>
        <w:widowControl w:val="0"/>
        <w:spacing w:after="312" w:afterLines="100" w:line="240" w:lineRule="auto"/>
        <w:rPr>
          <w:rFonts w:ascii="宋体" w:hAnsi="宋体"/>
          <w:b/>
          <w:bCs/>
          <w:kern w:val="2"/>
          <w:sz w:val="30"/>
          <w:szCs w:val="24"/>
          <w:lang w:val="en-US"/>
        </w:rPr>
      </w:pPr>
    </w:p>
    <w:p w14:paraId="1D85C52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居住建筑通风开口面积</w:t>
      </w:r>
    </w:p>
    <w:p w14:paraId="1762F7E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757F402D">
      <w:pPr>
        <w:spacing w:line="180" w:lineRule="atLeast"/>
        <w:jc w:val="center"/>
        <w:rPr>
          <w:rFonts w:ascii="宋体" w:hAnsi="宋体"/>
          <w:b/>
          <w:bCs/>
          <w:szCs w:val="21"/>
          <w:lang w:val="en-US"/>
        </w:rPr>
      </w:pPr>
    </w:p>
    <w:p w14:paraId="53C56314">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56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234AB6D">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65E1227">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01F2D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5C64A9">
            <w:pPr>
              <w:jc w:val="both"/>
              <w:rPr>
                <w:rFonts w:ascii="宋体" w:hAnsi="宋体"/>
                <w:szCs w:val="21"/>
              </w:rPr>
            </w:pPr>
            <w:r>
              <w:rPr>
                <w:rFonts w:hint="eastAsia" w:ascii="宋体" w:hAnsi="宋体"/>
                <w:szCs w:val="21"/>
              </w:rPr>
              <w:t>工程地点</w:t>
            </w:r>
          </w:p>
        </w:tc>
        <w:tc>
          <w:tcPr>
            <w:tcW w:w="3780" w:type="dxa"/>
          </w:tcPr>
          <w:p w14:paraId="7AA44336">
            <w:pPr>
              <w:jc w:val="both"/>
              <w:rPr>
                <w:rFonts w:ascii="宋体" w:hAnsi="宋体"/>
                <w:szCs w:val="21"/>
              </w:rPr>
            </w:pPr>
            <w:bookmarkStart w:id="1" w:name="工程地点"/>
            <w:r>
              <w:rPr>
                <w:rFonts w:hint="eastAsia" w:ascii="宋体" w:hAnsi="宋体"/>
                <w:szCs w:val="21"/>
              </w:rPr>
              <w:t>北京</w:t>
            </w:r>
            <w:bookmarkEnd w:id="1"/>
          </w:p>
        </w:tc>
      </w:tr>
      <w:tr w14:paraId="04398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5A71CA">
            <w:pPr>
              <w:jc w:val="both"/>
              <w:rPr>
                <w:rFonts w:ascii="宋体" w:hAnsi="宋体"/>
                <w:szCs w:val="21"/>
              </w:rPr>
            </w:pPr>
            <w:r>
              <w:rPr>
                <w:rFonts w:hint="eastAsia" w:ascii="宋体" w:hAnsi="宋体"/>
                <w:szCs w:val="21"/>
              </w:rPr>
              <w:t>设计编号</w:t>
            </w:r>
          </w:p>
        </w:tc>
        <w:tc>
          <w:tcPr>
            <w:tcW w:w="3780" w:type="dxa"/>
          </w:tcPr>
          <w:p w14:paraId="2618A2C7">
            <w:pPr>
              <w:jc w:val="both"/>
              <w:rPr>
                <w:rFonts w:ascii="宋体" w:hAnsi="宋体"/>
                <w:szCs w:val="21"/>
              </w:rPr>
            </w:pPr>
            <w:bookmarkStart w:id="2" w:name="设计编号"/>
            <w:bookmarkEnd w:id="2"/>
          </w:p>
        </w:tc>
      </w:tr>
      <w:tr w14:paraId="28A51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22AD69">
            <w:pPr>
              <w:jc w:val="both"/>
              <w:rPr>
                <w:rFonts w:ascii="宋体" w:hAnsi="宋体"/>
                <w:szCs w:val="21"/>
              </w:rPr>
            </w:pPr>
            <w:r>
              <w:rPr>
                <w:rFonts w:hint="eastAsia" w:ascii="宋体" w:hAnsi="宋体"/>
                <w:szCs w:val="21"/>
              </w:rPr>
              <w:t>建设单位</w:t>
            </w:r>
          </w:p>
        </w:tc>
        <w:tc>
          <w:tcPr>
            <w:tcW w:w="3780" w:type="dxa"/>
          </w:tcPr>
          <w:p w14:paraId="4770954A">
            <w:pPr>
              <w:rPr>
                <w:rFonts w:ascii="宋体" w:hAnsi="宋体"/>
                <w:szCs w:val="21"/>
              </w:rPr>
            </w:pPr>
            <w:bookmarkStart w:id="3" w:name="建设单位"/>
            <w:bookmarkEnd w:id="3"/>
          </w:p>
        </w:tc>
      </w:tr>
      <w:tr w14:paraId="653C0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F4522B">
            <w:pPr>
              <w:jc w:val="both"/>
              <w:rPr>
                <w:rFonts w:ascii="宋体" w:hAnsi="宋体"/>
                <w:szCs w:val="21"/>
              </w:rPr>
            </w:pPr>
            <w:r>
              <w:rPr>
                <w:rFonts w:hint="eastAsia" w:ascii="宋体" w:hAnsi="宋体"/>
                <w:szCs w:val="21"/>
              </w:rPr>
              <w:t>设计单位</w:t>
            </w:r>
          </w:p>
        </w:tc>
        <w:tc>
          <w:tcPr>
            <w:tcW w:w="3780" w:type="dxa"/>
          </w:tcPr>
          <w:p w14:paraId="1B5F582B">
            <w:pPr>
              <w:rPr>
                <w:rFonts w:ascii="宋体" w:hAnsi="宋体"/>
                <w:szCs w:val="21"/>
              </w:rPr>
            </w:pPr>
            <w:bookmarkStart w:id="4" w:name="设计单位"/>
            <w:bookmarkEnd w:id="4"/>
          </w:p>
        </w:tc>
      </w:tr>
      <w:tr w14:paraId="5AD9E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7CA2E6">
            <w:pPr>
              <w:jc w:val="both"/>
              <w:rPr>
                <w:rFonts w:ascii="宋体" w:hAnsi="宋体"/>
                <w:szCs w:val="21"/>
              </w:rPr>
            </w:pPr>
            <w:r>
              <w:rPr>
                <w:rFonts w:hint="eastAsia" w:ascii="宋体" w:hAnsi="宋体"/>
                <w:szCs w:val="21"/>
              </w:rPr>
              <w:t>设 计 人</w:t>
            </w:r>
          </w:p>
        </w:tc>
        <w:tc>
          <w:tcPr>
            <w:tcW w:w="3780" w:type="dxa"/>
          </w:tcPr>
          <w:p w14:paraId="2D738EB8">
            <w:pPr>
              <w:rPr>
                <w:rFonts w:ascii="宋体" w:hAnsi="宋体"/>
                <w:szCs w:val="21"/>
              </w:rPr>
            </w:pPr>
          </w:p>
        </w:tc>
      </w:tr>
      <w:tr w14:paraId="0CD45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52E615">
            <w:pPr>
              <w:jc w:val="both"/>
              <w:rPr>
                <w:rFonts w:ascii="宋体" w:hAnsi="宋体"/>
                <w:szCs w:val="21"/>
              </w:rPr>
            </w:pPr>
            <w:r>
              <w:rPr>
                <w:rFonts w:hint="eastAsia" w:ascii="宋体" w:hAnsi="宋体"/>
                <w:szCs w:val="21"/>
              </w:rPr>
              <w:t>校 对 人</w:t>
            </w:r>
          </w:p>
        </w:tc>
        <w:tc>
          <w:tcPr>
            <w:tcW w:w="3780" w:type="dxa"/>
          </w:tcPr>
          <w:p w14:paraId="4B5A5EAE">
            <w:pPr>
              <w:rPr>
                <w:rFonts w:ascii="宋体" w:hAnsi="宋体"/>
                <w:szCs w:val="21"/>
              </w:rPr>
            </w:pPr>
          </w:p>
        </w:tc>
      </w:tr>
      <w:tr w14:paraId="468B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EDC99">
            <w:pPr>
              <w:jc w:val="both"/>
              <w:rPr>
                <w:rFonts w:ascii="宋体" w:hAnsi="宋体"/>
                <w:szCs w:val="21"/>
              </w:rPr>
            </w:pPr>
            <w:r>
              <w:rPr>
                <w:rFonts w:hint="eastAsia" w:ascii="宋体" w:hAnsi="宋体"/>
                <w:szCs w:val="21"/>
              </w:rPr>
              <w:t>审 核 人</w:t>
            </w:r>
          </w:p>
        </w:tc>
        <w:tc>
          <w:tcPr>
            <w:tcW w:w="3780" w:type="dxa"/>
          </w:tcPr>
          <w:p w14:paraId="102331DE">
            <w:pPr>
              <w:rPr>
                <w:rFonts w:ascii="宋体" w:hAnsi="宋体"/>
                <w:szCs w:val="21"/>
              </w:rPr>
            </w:pPr>
          </w:p>
        </w:tc>
      </w:tr>
      <w:tr w14:paraId="006D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E0AAD8E">
            <w:pPr>
              <w:jc w:val="both"/>
              <w:rPr>
                <w:rFonts w:ascii="宋体" w:hAnsi="宋体"/>
                <w:szCs w:val="21"/>
              </w:rPr>
            </w:pPr>
            <w:r>
              <w:rPr>
                <w:rFonts w:hint="eastAsia" w:ascii="宋体" w:hAnsi="宋体"/>
                <w:szCs w:val="21"/>
              </w:rPr>
              <w:t>设计日期</w:t>
            </w:r>
          </w:p>
        </w:tc>
        <w:tc>
          <w:tcPr>
            <w:tcW w:w="3780" w:type="dxa"/>
          </w:tcPr>
          <w:p w14:paraId="7B63360A">
            <w:pPr>
              <w:rPr>
                <w:rFonts w:ascii="宋体" w:hAnsi="宋体"/>
                <w:szCs w:val="21"/>
              </w:rPr>
            </w:pPr>
            <w:bookmarkStart w:id="5" w:name="设计日期"/>
            <w:bookmarkEnd w:id="5"/>
          </w:p>
        </w:tc>
      </w:tr>
    </w:tbl>
    <w:p w14:paraId="5A577DAF">
      <w:pPr>
        <w:spacing w:line="240" w:lineRule="auto"/>
        <w:rPr>
          <w:rFonts w:ascii="宋体" w:hAnsi="宋体"/>
          <w:lang w:val="en-US"/>
        </w:rPr>
      </w:pPr>
    </w:p>
    <w:p w14:paraId="039BEC2A">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1DE07F80">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CA04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778ECB5">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DA5F041">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6F714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FC60F0D">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6C166460">
            <w:pPr>
              <w:jc w:val="both"/>
              <w:rPr>
                <w:rFonts w:ascii="宋体" w:hAnsi="宋体"/>
                <w:szCs w:val="18"/>
              </w:rPr>
            </w:pPr>
            <w:bookmarkStart w:id="8" w:name="软件版本"/>
            <w:r>
              <w:rPr>
                <w:rFonts w:ascii="宋体" w:hAnsi="宋体"/>
                <w:szCs w:val="18"/>
              </w:rPr>
              <w:t>20240430(SP1)</w:t>
            </w:r>
            <w:bookmarkEnd w:id="8"/>
          </w:p>
        </w:tc>
      </w:tr>
      <w:tr w14:paraId="4A7E7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E89D13F">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5570D6A1">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932C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1328502">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54223FE">
            <w:pPr>
              <w:jc w:val="both"/>
              <w:rPr>
                <w:rFonts w:ascii="宋体" w:hAnsi="宋体"/>
                <w:szCs w:val="18"/>
              </w:rPr>
            </w:pPr>
            <w:bookmarkStart w:id="9" w:name="加密锁号"/>
            <w:r>
              <w:t>T15696828582</w:t>
            </w:r>
            <w:bookmarkEnd w:id="9"/>
          </w:p>
        </w:tc>
      </w:tr>
    </w:tbl>
    <w:p w14:paraId="0CE5C7EB">
      <w:pPr>
        <w:spacing w:line="1000" w:lineRule="exact"/>
        <w:jc w:val="center"/>
      </w:pPr>
    </w:p>
    <w:p w14:paraId="00093652">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B6D1C7B">
      <w:pPr>
        <w:pStyle w:val="2"/>
      </w:pPr>
      <w:bookmarkStart w:id="10" w:name="_Toc420663548"/>
      <w:bookmarkStart w:id="11" w:name="_Toc420309360"/>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C59C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7C3FA84">
            <w:pPr>
              <w:pStyle w:val="3"/>
              <w:ind w:firstLine="0" w:firstLineChars="0"/>
              <w:rPr>
                <w:rFonts w:ascii="宋体" w:hAnsi="宋体"/>
                <w:lang w:val="en-US"/>
              </w:rPr>
            </w:pPr>
            <w:r>
              <w:rPr>
                <w:rFonts w:hint="eastAsia" w:ascii="宋体" w:hAnsi="宋体"/>
                <w:lang w:val="en-US"/>
              </w:rPr>
              <w:t>工程名称</w:t>
            </w:r>
          </w:p>
        </w:tc>
        <w:tc>
          <w:tcPr>
            <w:tcW w:w="6231" w:type="dxa"/>
          </w:tcPr>
          <w:p w14:paraId="3126F682">
            <w:pPr>
              <w:pStyle w:val="3"/>
              <w:ind w:firstLine="0" w:firstLineChars="0"/>
              <w:rPr>
                <w:rFonts w:ascii="宋体" w:hAnsi="宋体"/>
                <w:lang w:val="en-US"/>
              </w:rPr>
            </w:pPr>
            <w:bookmarkStart w:id="12" w:name="工程名称2"/>
            <w:r>
              <w:rPr>
                <w:rFonts w:hint="eastAsia" w:ascii="宋体" w:hAnsi="宋体"/>
              </w:rPr>
              <w:t>新建项目</w:t>
            </w:r>
            <w:bookmarkEnd w:id="12"/>
          </w:p>
        </w:tc>
      </w:tr>
      <w:tr w14:paraId="7A9F0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8F1D58D">
            <w:pPr>
              <w:pStyle w:val="3"/>
              <w:ind w:firstLine="0" w:firstLineChars="0"/>
              <w:rPr>
                <w:rFonts w:ascii="宋体" w:hAnsi="宋体"/>
                <w:lang w:val="en-US"/>
              </w:rPr>
            </w:pPr>
            <w:r>
              <w:rPr>
                <w:rFonts w:hint="eastAsia" w:ascii="宋体" w:hAnsi="宋体"/>
                <w:lang w:val="en-US"/>
              </w:rPr>
              <w:t>工程地点</w:t>
            </w:r>
          </w:p>
        </w:tc>
        <w:tc>
          <w:tcPr>
            <w:tcW w:w="6231" w:type="dxa"/>
          </w:tcPr>
          <w:p w14:paraId="456E1E0F">
            <w:pPr>
              <w:pStyle w:val="3"/>
              <w:ind w:firstLine="0" w:firstLineChars="0"/>
              <w:rPr>
                <w:rFonts w:ascii="宋体" w:hAnsi="宋体"/>
                <w:lang w:val="en-US"/>
              </w:rPr>
            </w:pPr>
            <w:bookmarkStart w:id="13" w:name="工程地点2"/>
            <w:r>
              <w:rPr>
                <w:rFonts w:hint="eastAsia" w:ascii="宋体" w:hAnsi="宋体"/>
              </w:rPr>
              <w:t>北京</w:t>
            </w:r>
            <w:bookmarkEnd w:id="13"/>
          </w:p>
        </w:tc>
      </w:tr>
      <w:tr w14:paraId="69E2B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6F15CD5">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49E3B970">
            <w:pPr>
              <w:pStyle w:val="3"/>
              <w:ind w:firstLine="0" w:firstLineChars="0"/>
              <w:rPr>
                <w:rFonts w:ascii="宋体" w:hAnsi="宋体"/>
                <w:lang w:val="en-US"/>
              </w:rPr>
            </w:pPr>
            <w:bookmarkStart w:id="14" w:name="热工分区"/>
            <w:r>
              <w:rPr>
                <w:rFonts w:hint="eastAsia" w:ascii="宋体" w:hAnsi="宋体"/>
                <w:lang w:val="en-US"/>
              </w:rPr>
              <w:t>寒冷</w:t>
            </w:r>
            <w:bookmarkEnd w:id="14"/>
          </w:p>
        </w:tc>
      </w:tr>
      <w:tr w14:paraId="59A6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901CDA">
            <w:pPr>
              <w:pStyle w:val="3"/>
              <w:ind w:firstLine="0" w:firstLineChars="0"/>
              <w:rPr>
                <w:rFonts w:ascii="宋体" w:hAnsi="宋体"/>
                <w:lang w:val="en-US"/>
              </w:rPr>
            </w:pPr>
            <w:r>
              <w:rPr>
                <w:rFonts w:hint="eastAsia" w:ascii="宋体" w:hAnsi="宋体"/>
                <w:lang w:val="en-US"/>
              </w:rPr>
              <w:t>建筑面积</w:t>
            </w:r>
          </w:p>
        </w:tc>
        <w:tc>
          <w:tcPr>
            <w:tcW w:w="6231" w:type="dxa"/>
          </w:tcPr>
          <w:p w14:paraId="3A46B522">
            <w:pPr>
              <w:pStyle w:val="3"/>
              <w:ind w:firstLine="0" w:firstLineChars="0"/>
              <w:rPr>
                <w:rFonts w:ascii="宋体" w:hAnsi="宋体"/>
                <w:vertAlign w:val="superscript"/>
                <w:lang w:val="en-US"/>
              </w:rPr>
            </w:pPr>
            <w:bookmarkStart w:id="15" w:name="建筑面积"/>
            <w:r>
              <w:rPr>
                <w:rFonts w:ascii="宋体" w:hAnsi="宋体"/>
                <w:lang w:val="en-US"/>
              </w:rPr>
              <w:t>17037</w:t>
            </w:r>
            <w:bookmarkEnd w:id="15"/>
            <w:r>
              <w:rPr>
                <w:rFonts w:hint="eastAsia" w:ascii="宋体" w:hAnsi="宋体"/>
                <w:lang w:val="en-US"/>
              </w:rPr>
              <w:t xml:space="preserve"> m</w:t>
            </w:r>
            <w:r>
              <w:rPr>
                <w:rFonts w:hint="eastAsia" w:ascii="宋体" w:hAnsi="宋体"/>
                <w:vertAlign w:val="superscript"/>
                <w:lang w:val="en-US"/>
              </w:rPr>
              <w:t>2</w:t>
            </w:r>
          </w:p>
        </w:tc>
      </w:tr>
      <w:tr w14:paraId="45A08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33E0F6E">
            <w:pPr>
              <w:pStyle w:val="3"/>
              <w:ind w:firstLine="0" w:firstLineChars="0"/>
              <w:rPr>
                <w:rFonts w:ascii="宋体" w:hAnsi="宋体"/>
                <w:lang w:val="en-US"/>
              </w:rPr>
            </w:pPr>
            <w:r>
              <w:rPr>
                <w:rFonts w:hint="eastAsia" w:ascii="宋体" w:hAnsi="宋体"/>
                <w:lang w:val="en-US"/>
              </w:rPr>
              <w:t>建筑层数</w:t>
            </w:r>
          </w:p>
        </w:tc>
        <w:tc>
          <w:tcPr>
            <w:tcW w:w="6231" w:type="dxa"/>
          </w:tcPr>
          <w:p w14:paraId="71DB3732">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7</w:t>
            </w:r>
            <w:bookmarkEnd w:id="16"/>
            <w:r>
              <w:rPr>
                <w:rFonts w:hint="eastAsia" w:ascii="宋体" w:hAnsi="宋体"/>
                <w:lang w:val="en-US"/>
              </w:rPr>
              <w:t>层</w:t>
            </w:r>
          </w:p>
        </w:tc>
      </w:tr>
      <w:tr w14:paraId="77F6A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15ECA92">
            <w:pPr>
              <w:pStyle w:val="3"/>
              <w:ind w:firstLine="0" w:firstLineChars="0"/>
              <w:rPr>
                <w:rFonts w:ascii="宋体" w:hAnsi="宋体"/>
                <w:lang w:val="en-US"/>
              </w:rPr>
            </w:pPr>
            <w:r>
              <w:rPr>
                <w:rFonts w:hint="eastAsia" w:ascii="宋体" w:hAnsi="宋体"/>
                <w:lang w:val="en-US"/>
              </w:rPr>
              <w:t>建筑高度</w:t>
            </w:r>
          </w:p>
        </w:tc>
        <w:tc>
          <w:tcPr>
            <w:tcW w:w="6231" w:type="dxa"/>
          </w:tcPr>
          <w:p w14:paraId="064175E2">
            <w:pPr>
              <w:pStyle w:val="3"/>
              <w:ind w:firstLine="0" w:firstLineChars="0"/>
              <w:rPr>
                <w:rFonts w:ascii="宋体" w:hAnsi="宋体"/>
                <w:lang w:val="en-US"/>
              </w:rPr>
            </w:pPr>
            <w:bookmarkStart w:id="17" w:name="建筑高度"/>
            <w:r>
              <w:rPr>
                <w:rFonts w:hint="eastAsia" w:ascii="宋体" w:hAnsi="宋体"/>
                <w:lang w:val="en-US"/>
              </w:rPr>
              <w:t>31.3</w:t>
            </w:r>
            <w:bookmarkEnd w:id="17"/>
            <w:r>
              <w:rPr>
                <w:rFonts w:hint="eastAsia" w:ascii="宋体" w:hAnsi="宋体"/>
                <w:lang w:val="en-US"/>
              </w:rPr>
              <w:t>m</w:t>
            </w:r>
          </w:p>
        </w:tc>
      </w:tr>
    </w:tbl>
    <w:p w14:paraId="6A14A842">
      <w:pPr>
        <w:pStyle w:val="2"/>
      </w:pPr>
      <w:bookmarkStart w:id="18" w:name="_Toc420663549"/>
      <w:bookmarkStart w:id="19" w:name="_Toc420309361"/>
      <w:bookmarkStart w:id="20" w:name="TitleFormat"/>
      <w:r>
        <w:rPr>
          <w:rFonts w:hint="eastAsia"/>
        </w:rPr>
        <w:t>计算依据</w:t>
      </w:r>
      <w:bookmarkEnd w:id="18"/>
      <w:bookmarkEnd w:id="19"/>
    </w:p>
    <w:bookmarkEnd w:id="20"/>
    <w:p w14:paraId="75F63986">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7A9033C5">
      <w:pPr>
        <w:rPr>
          <w:szCs w:val="24"/>
        </w:rPr>
      </w:pPr>
      <w:r>
        <w:rPr>
          <w:rFonts w:hint="eastAsia"/>
          <w:szCs w:val="24"/>
        </w:rPr>
        <w:t>2.</w:t>
      </w:r>
      <w:r>
        <w:rPr>
          <w:szCs w:val="24"/>
        </w:rPr>
        <w:t xml:space="preserve"> </w:t>
      </w:r>
      <w:r>
        <w:rPr>
          <w:rFonts w:hint="eastAsia"/>
          <w:szCs w:val="24"/>
        </w:rPr>
        <w:t>《绿色建筑评价技术细则》</w:t>
      </w:r>
    </w:p>
    <w:p w14:paraId="42D05E17">
      <w:pPr>
        <w:rPr>
          <w:szCs w:val="24"/>
        </w:rPr>
      </w:pPr>
      <w:r>
        <w:rPr>
          <w:rFonts w:hint="eastAsia"/>
          <w:szCs w:val="24"/>
        </w:rPr>
        <w:t>3.</w:t>
      </w:r>
      <w:r>
        <w:rPr>
          <w:szCs w:val="24"/>
        </w:rPr>
        <w:t xml:space="preserve"> 《住宅设计规范》GB50096</w:t>
      </w:r>
      <w:r>
        <w:rPr>
          <w:rFonts w:hint="eastAsia"/>
        </w:rPr>
        <w:t>—</w:t>
      </w:r>
      <w:r>
        <w:rPr>
          <w:szCs w:val="24"/>
        </w:rPr>
        <w:t>2011</w:t>
      </w:r>
    </w:p>
    <w:p w14:paraId="61C37414">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p>
    <w:p w14:paraId="43185559">
      <w:pPr>
        <w:pStyle w:val="2"/>
        <w:rPr>
          <w:kern w:val="2"/>
        </w:rPr>
      </w:pPr>
      <w:bookmarkStart w:id="22" w:name="_Toc420663551"/>
      <w:r>
        <w:rPr>
          <w:rFonts w:hint="eastAsia"/>
          <w:kern w:val="2"/>
        </w:rPr>
        <w:t>参考标准</w:t>
      </w:r>
    </w:p>
    <w:p w14:paraId="5B32825A">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651D5720">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2CA9133A">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D4F6BE">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64644B0E">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482DAA7">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55D333DA">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1602067B">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42630416">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1AF84BCE">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36CC7915">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D72ADFA">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7D53622">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1C6C16CF">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028588CC">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42DB08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F7EAB80">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46305C44">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0A15CADC">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3D51B903">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04AEF03D">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2D11C1EC">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78386704">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73D8556B">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0E681A72">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4A747925">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673D08B8">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F4D3D8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C0E7DB3">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5D664992">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796E15FD">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06B6C5C">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FC1DC90">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10D4DA0C">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29C3CAA">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CF9724F">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6CD14ECE">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0861B188">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44A374C6">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2702E357">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72E84078">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18502714">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19DE0643">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226DA9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4591C932">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09F6814B">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20A67D4F">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230A75A1">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4AB27DBF">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78ECE5B3">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6156EB35">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13EDB497">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1806844A">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5830FD7B">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74F17D35"/>
    <w:p w14:paraId="1B4D9E6E">
      <w:pPr>
        <w:pStyle w:val="2"/>
        <w:rPr>
          <w:kern w:val="2"/>
        </w:rPr>
      </w:pPr>
      <w:r>
        <w:rPr>
          <w:rFonts w:hint="eastAsia"/>
          <w:kern w:val="2"/>
        </w:rPr>
        <w:t>计算内容</w:t>
      </w:r>
      <w:bookmarkEnd w:id="22"/>
      <w:r>
        <w:rPr>
          <w:rFonts w:hint="eastAsia"/>
          <w:kern w:val="2"/>
        </w:rPr>
        <w:t>和方法</w:t>
      </w:r>
    </w:p>
    <w:p w14:paraId="7BFD3131">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5CE85D5A">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7789D70C">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6CAF569E">
      <w:pPr>
        <w:widowControl w:val="0"/>
        <w:spacing w:line="240" w:lineRule="auto"/>
        <w:ind w:left="420" w:leftChars="200"/>
        <w:rPr>
          <w:kern w:val="2"/>
          <w:szCs w:val="24"/>
          <w:lang w:val="en-US"/>
        </w:rPr>
      </w:pPr>
      <w:r>
        <w:rPr>
          <w:rFonts w:hint="eastAsia"/>
          <w:kern w:val="2"/>
          <w:szCs w:val="24"/>
          <w:lang w:val="en-US"/>
        </w:rPr>
        <w:t>式中：</w:t>
      </w:r>
    </w:p>
    <w:p w14:paraId="239CBA94">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53DABB9E">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5940EAB8">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031D34C8">
      <w:pPr>
        <w:widowControl w:val="0"/>
        <w:spacing w:line="240" w:lineRule="auto"/>
        <w:ind w:left="1050" w:leftChars="500"/>
        <w:rPr>
          <w:kern w:val="2"/>
          <w:lang w:val="en-US"/>
        </w:rPr>
      </w:pPr>
    </w:p>
    <w:p w14:paraId="4B8C194F">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2255C2AF">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25CC347C">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57B1B312">
      <w:pPr>
        <w:pStyle w:val="2"/>
        <w:rPr>
          <w:kern w:val="2"/>
        </w:rPr>
      </w:pPr>
      <w:r>
        <w:rPr>
          <w:rFonts w:hint="eastAsia"/>
          <w:kern w:val="2"/>
        </w:rPr>
        <w:t>通风开口面积统计</w:t>
      </w:r>
    </w:p>
    <w:p w14:paraId="13C8A75C">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6A733E65">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7D666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E10BFF">
            <w:pPr>
              <w:rPr>
                <w:sz w:val="24"/>
                <w:szCs w:val="24"/>
              </w:rPr>
            </w:pPr>
            <w:r>
              <w:rPr>
                <w:sz w:val="24"/>
                <w:szCs w:val="24"/>
              </w:rPr>
              <w:t>层号</w:t>
            </w:r>
          </w:p>
        </w:tc>
        <w:tc>
          <w:tcPr>
            <w:shd w:val="clear" w:color="auto" w:fill="E6E6E6"/>
            <w:vAlign w:val="center"/>
          </w:tcPr>
          <w:p w14:paraId="2C370850">
            <w:pPr>
              <w:rPr>
                <w:sz w:val="24"/>
                <w:szCs w:val="24"/>
              </w:rPr>
            </w:pPr>
            <w:r>
              <w:rPr>
                <w:sz w:val="24"/>
                <w:szCs w:val="24"/>
              </w:rPr>
              <w:t>户型</w:t>
            </w:r>
          </w:p>
        </w:tc>
        <w:tc>
          <w:tcPr>
            <w:shd w:val="clear" w:color="auto" w:fill="E6E6E6"/>
            <w:vAlign w:val="center"/>
          </w:tcPr>
          <w:p w14:paraId="6B4CC417">
            <w:pPr>
              <w:rPr>
                <w:sz w:val="24"/>
                <w:szCs w:val="24"/>
              </w:rPr>
            </w:pPr>
            <w:r>
              <w:rPr>
                <w:sz w:val="24"/>
                <w:szCs w:val="24"/>
              </w:rPr>
              <w:t>房间</w:t>
            </w:r>
          </w:p>
        </w:tc>
        <w:tc>
          <w:tcPr>
            <w:shd w:val="clear" w:color="auto" w:fill="E6E6E6"/>
            <w:vAlign w:val="center"/>
          </w:tcPr>
          <w:p w14:paraId="367A765F">
            <w:pPr>
              <w:rPr>
                <w:sz w:val="24"/>
                <w:szCs w:val="24"/>
              </w:rPr>
            </w:pPr>
            <w:r>
              <w:rPr>
                <w:sz w:val="24"/>
                <w:szCs w:val="24"/>
              </w:rPr>
              <w:t>门窗编号</w:t>
            </w:r>
          </w:p>
        </w:tc>
        <w:tc>
          <w:tcPr>
            <w:shd w:val="clear" w:color="auto" w:fill="E6E6E6"/>
            <w:vAlign w:val="center"/>
          </w:tcPr>
          <w:p w14:paraId="280F02F3">
            <w:pPr>
              <w:rPr>
                <w:sz w:val="24"/>
                <w:szCs w:val="24"/>
              </w:rPr>
            </w:pPr>
            <w:r>
              <w:rPr>
                <w:sz w:val="24"/>
                <w:szCs w:val="24"/>
              </w:rPr>
              <w:t>门窗类型</w:t>
            </w:r>
          </w:p>
        </w:tc>
        <w:tc>
          <w:tcPr>
            <w:shd w:val="clear" w:color="auto" w:fill="E6E6E6"/>
            <w:vAlign w:val="center"/>
          </w:tcPr>
          <w:p w14:paraId="24053E02">
            <w:pPr>
              <w:rPr>
                <w:sz w:val="24"/>
                <w:szCs w:val="24"/>
              </w:rPr>
            </w:pPr>
            <w:r>
              <w:rPr>
                <w:sz w:val="24"/>
                <w:szCs w:val="24"/>
              </w:rPr>
              <w:t>门窗面积(㎡)</w:t>
            </w:r>
          </w:p>
        </w:tc>
        <w:tc>
          <w:tcPr>
            <w:shd w:val="clear" w:color="auto" w:fill="E6E6E6"/>
            <w:vAlign w:val="center"/>
          </w:tcPr>
          <w:p w14:paraId="31926805">
            <w:pPr>
              <w:rPr>
                <w:sz w:val="24"/>
                <w:szCs w:val="24"/>
              </w:rPr>
            </w:pPr>
            <w:r>
              <w:rPr>
                <w:sz w:val="24"/>
                <w:szCs w:val="24"/>
              </w:rPr>
              <w:t>通风开口面积(㎡)</w:t>
            </w:r>
          </w:p>
        </w:tc>
        <w:tc>
          <w:tcPr>
            <w:shd w:val="clear" w:color="auto" w:fill="E6E6E6"/>
            <w:vAlign w:val="center"/>
          </w:tcPr>
          <w:p w14:paraId="630D8502">
            <w:pPr>
              <w:rPr>
                <w:sz w:val="24"/>
                <w:szCs w:val="24"/>
              </w:rPr>
            </w:pPr>
            <w:r>
              <w:rPr>
                <w:sz w:val="24"/>
                <w:szCs w:val="24"/>
              </w:rPr>
              <w:t>地板面积(㎡)</w:t>
            </w:r>
          </w:p>
        </w:tc>
        <w:tc>
          <w:tcPr>
            <w:shd w:val="clear" w:color="auto" w:fill="E6E6E6"/>
            <w:vAlign w:val="center"/>
          </w:tcPr>
          <w:p w14:paraId="6F66261D">
            <w:pPr>
              <w:rPr>
                <w:sz w:val="24"/>
                <w:szCs w:val="24"/>
              </w:rPr>
            </w:pPr>
            <w:r>
              <w:rPr>
                <w:sz w:val="24"/>
                <w:szCs w:val="24"/>
              </w:rPr>
              <w:t>开地比(%)</w:t>
            </w:r>
          </w:p>
        </w:tc>
      </w:tr>
      <w:tr w14:paraId="0FE9AA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28F5FE">
            <w:pPr>
              <w:rPr>
                <w:sz w:val="24"/>
                <w:szCs w:val="24"/>
              </w:rPr>
            </w:pPr>
            <w:r>
              <w:rPr>
                <w:sz w:val="24"/>
                <w:szCs w:val="24"/>
              </w:rPr>
              <w:t>4层</w:t>
            </w:r>
          </w:p>
        </w:tc>
        <w:tc>
          <w:tcPr>
            <w:vMerge w:val="restart"/>
            <w:vAlign w:val="center"/>
          </w:tcPr>
          <w:p w14:paraId="7004FAE4">
            <w:pPr>
              <w:rPr>
                <w:sz w:val="24"/>
                <w:szCs w:val="24"/>
              </w:rPr>
            </w:pPr>
            <w:r>
              <w:rPr>
                <w:sz w:val="24"/>
                <w:szCs w:val="24"/>
              </w:rPr>
              <w:t>4-D</w:t>
            </w:r>
          </w:p>
        </w:tc>
        <w:tc>
          <w:tcPr>
            <w:vAlign w:val="center"/>
          </w:tcPr>
          <w:p w14:paraId="15FAB960">
            <w:pPr>
              <w:rPr>
                <w:sz w:val="24"/>
                <w:szCs w:val="24"/>
              </w:rPr>
            </w:pPr>
            <w:r>
              <w:rPr>
                <w:sz w:val="24"/>
                <w:szCs w:val="24"/>
              </w:rPr>
              <w:t>4081[医生办公]</w:t>
            </w:r>
          </w:p>
        </w:tc>
        <w:tc>
          <w:tcPr>
            <w:vAlign w:val="center"/>
          </w:tcPr>
          <w:p w14:paraId="6C6FD639">
            <w:pPr>
              <w:rPr>
                <w:sz w:val="24"/>
                <w:szCs w:val="24"/>
              </w:rPr>
            </w:pPr>
            <w:r>
              <w:rPr>
                <w:sz w:val="24"/>
                <w:szCs w:val="24"/>
              </w:rPr>
              <w:t>M1022</w:t>
            </w:r>
          </w:p>
        </w:tc>
        <w:tc>
          <w:tcPr>
            <w:vAlign w:val="center"/>
          </w:tcPr>
          <w:p w14:paraId="310479F5">
            <w:pPr>
              <w:rPr>
                <w:sz w:val="24"/>
                <w:szCs w:val="24"/>
              </w:rPr>
            </w:pPr>
            <w:r>
              <w:rPr>
                <w:sz w:val="24"/>
                <w:szCs w:val="24"/>
              </w:rPr>
              <w:t>推拉窗</w:t>
            </w:r>
          </w:p>
        </w:tc>
        <w:tc>
          <w:tcPr>
            <w:vAlign w:val="center"/>
          </w:tcPr>
          <w:p w14:paraId="7FC2F65E">
            <w:pPr>
              <w:rPr>
                <w:sz w:val="24"/>
                <w:szCs w:val="24"/>
              </w:rPr>
            </w:pPr>
            <w:r>
              <w:rPr>
                <w:sz w:val="24"/>
                <w:szCs w:val="24"/>
              </w:rPr>
              <w:t>2.20</w:t>
            </w:r>
          </w:p>
        </w:tc>
        <w:tc>
          <w:tcPr>
            <w:vAlign w:val="center"/>
          </w:tcPr>
          <w:p w14:paraId="0ED75926">
            <w:pPr>
              <w:rPr>
                <w:sz w:val="24"/>
                <w:szCs w:val="24"/>
              </w:rPr>
            </w:pPr>
            <w:r>
              <w:rPr>
                <w:sz w:val="24"/>
                <w:szCs w:val="24"/>
              </w:rPr>
              <w:t>2.20</w:t>
            </w:r>
          </w:p>
        </w:tc>
        <w:tc>
          <w:tcPr>
            <w:vAlign w:val="center"/>
          </w:tcPr>
          <w:p w14:paraId="515EA943">
            <w:pPr>
              <w:rPr>
                <w:sz w:val="24"/>
                <w:szCs w:val="24"/>
              </w:rPr>
            </w:pPr>
            <w:r>
              <w:rPr>
                <w:sz w:val="24"/>
                <w:szCs w:val="24"/>
              </w:rPr>
              <w:t>24.12</w:t>
            </w:r>
          </w:p>
        </w:tc>
        <w:tc>
          <w:tcPr>
            <w:vAlign w:val="center"/>
          </w:tcPr>
          <w:p w14:paraId="491E287E">
            <w:pPr>
              <w:rPr>
                <w:sz w:val="24"/>
                <w:szCs w:val="24"/>
              </w:rPr>
            </w:pPr>
            <w:r>
              <w:rPr>
                <w:sz w:val="24"/>
                <w:szCs w:val="24"/>
              </w:rPr>
              <w:t>9.12</w:t>
            </w:r>
          </w:p>
        </w:tc>
      </w:tr>
      <w:tr w14:paraId="6A1F74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ACB2B1">
            <w:pPr>
              <w:rPr>
                <w:sz w:val="24"/>
                <w:szCs w:val="24"/>
              </w:rPr>
            </w:pPr>
          </w:p>
        </w:tc>
        <w:tc>
          <w:tcPr>
            <w:vMerge w:val="continue"/>
            <w:vAlign w:val="center"/>
          </w:tcPr>
          <w:p w14:paraId="1D9E9446">
            <w:pPr>
              <w:rPr>
                <w:sz w:val="24"/>
                <w:szCs w:val="24"/>
              </w:rPr>
            </w:pPr>
          </w:p>
        </w:tc>
        <w:tc>
          <w:tcPr>
            <w:gridSpan w:val="3"/>
            <w:shd w:val="clear" w:color="auto" w:fill="E6E6E6"/>
            <w:vAlign w:val="center"/>
          </w:tcPr>
          <w:p w14:paraId="4060F140">
            <w:pPr>
              <w:rPr>
                <w:sz w:val="24"/>
                <w:szCs w:val="24"/>
              </w:rPr>
            </w:pPr>
            <w:r>
              <w:rPr>
                <w:b/>
                <w:sz w:val="24"/>
                <w:szCs w:val="24"/>
              </w:rPr>
              <w:t>套内通风开口面积合计</w:t>
            </w:r>
          </w:p>
        </w:tc>
        <w:tc>
          <w:tcPr>
            <w:vAlign w:val="center"/>
          </w:tcPr>
          <w:p w14:paraId="10BC0737">
            <w:pPr>
              <w:rPr>
                <w:sz w:val="24"/>
                <w:szCs w:val="24"/>
              </w:rPr>
            </w:pPr>
            <w:r>
              <w:rPr>
                <w:sz w:val="24"/>
                <w:szCs w:val="24"/>
              </w:rPr>
              <w:t>2.20</w:t>
            </w:r>
          </w:p>
        </w:tc>
        <w:tc>
          <w:tcPr>
            <w:vAlign w:val="center"/>
          </w:tcPr>
          <w:p w14:paraId="3693166B">
            <w:pPr>
              <w:rPr>
                <w:sz w:val="24"/>
                <w:szCs w:val="24"/>
              </w:rPr>
            </w:pPr>
            <w:r>
              <w:rPr>
                <w:sz w:val="24"/>
                <w:szCs w:val="24"/>
              </w:rPr>
              <w:t>2.20</w:t>
            </w:r>
          </w:p>
        </w:tc>
        <w:tc>
          <w:tcPr>
            <w:vAlign w:val="center"/>
          </w:tcPr>
          <w:p w14:paraId="6409E7C5">
            <w:pPr>
              <w:rPr>
                <w:sz w:val="24"/>
                <w:szCs w:val="24"/>
              </w:rPr>
            </w:pPr>
            <w:r>
              <w:rPr>
                <w:sz w:val="24"/>
                <w:szCs w:val="24"/>
              </w:rPr>
              <w:t>24.12</w:t>
            </w:r>
          </w:p>
        </w:tc>
        <w:tc>
          <w:tcPr>
            <w:vAlign w:val="center"/>
          </w:tcPr>
          <w:p w14:paraId="4426B66F">
            <w:pPr>
              <w:rPr>
                <w:color w:val="0000FF"/>
                <w:sz w:val="24"/>
                <w:szCs w:val="24"/>
              </w:rPr>
            </w:pPr>
            <w:r>
              <w:rPr>
                <w:b/>
                <w:color w:val="0000FF"/>
                <w:sz w:val="24"/>
                <w:szCs w:val="24"/>
              </w:rPr>
              <w:t>9.12</w:t>
            </w:r>
          </w:p>
        </w:tc>
      </w:tr>
      <w:tr w14:paraId="5E7DD6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73D30E8">
            <w:pPr>
              <w:rPr>
                <w:sz w:val="24"/>
                <w:szCs w:val="24"/>
              </w:rPr>
            </w:pPr>
            <w:r>
              <w:rPr>
                <w:sz w:val="24"/>
                <w:szCs w:val="24"/>
              </w:rPr>
              <w:t>7层</w:t>
            </w:r>
          </w:p>
        </w:tc>
        <w:tc>
          <w:tcPr>
            <w:vAlign w:val="center"/>
          </w:tcPr>
          <w:p w14:paraId="7357E5E4">
            <w:pPr>
              <w:rPr>
                <w:sz w:val="24"/>
                <w:szCs w:val="24"/>
              </w:rPr>
            </w:pPr>
          </w:p>
        </w:tc>
        <w:tc>
          <w:tcPr>
            <w:vAlign w:val="center"/>
          </w:tcPr>
          <w:p w14:paraId="25FB708A">
            <w:pPr>
              <w:rPr>
                <w:sz w:val="24"/>
                <w:szCs w:val="24"/>
              </w:rPr>
            </w:pPr>
          </w:p>
        </w:tc>
        <w:tc>
          <w:tcPr>
            <w:vAlign w:val="center"/>
          </w:tcPr>
          <w:p w14:paraId="57C64E16">
            <w:pPr>
              <w:rPr>
                <w:sz w:val="24"/>
                <w:szCs w:val="24"/>
              </w:rPr>
            </w:pPr>
          </w:p>
        </w:tc>
        <w:tc>
          <w:tcPr>
            <w:vAlign w:val="center"/>
          </w:tcPr>
          <w:p w14:paraId="5CD4FDC0">
            <w:pPr>
              <w:rPr>
                <w:sz w:val="24"/>
                <w:szCs w:val="24"/>
              </w:rPr>
            </w:pPr>
          </w:p>
        </w:tc>
        <w:tc>
          <w:tcPr>
            <w:vAlign w:val="center"/>
          </w:tcPr>
          <w:p w14:paraId="2F1017A6">
            <w:pPr>
              <w:rPr>
                <w:sz w:val="24"/>
                <w:szCs w:val="24"/>
              </w:rPr>
            </w:pPr>
          </w:p>
        </w:tc>
        <w:tc>
          <w:tcPr>
            <w:vAlign w:val="center"/>
          </w:tcPr>
          <w:p w14:paraId="60B706EF">
            <w:pPr>
              <w:rPr>
                <w:sz w:val="24"/>
                <w:szCs w:val="24"/>
              </w:rPr>
            </w:pPr>
          </w:p>
        </w:tc>
        <w:tc>
          <w:tcPr>
            <w:vAlign w:val="center"/>
          </w:tcPr>
          <w:p w14:paraId="377608BA">
            <w:pPr>
              <w:rPr>
                <w:sz w:val="24"/>
                <w:szCs w:val="24"/>
              </w:rPr>
            </w:pPr>
          </w:p>
        </w:tc>
        <w:tc>
          <w:tcPr>
            <w:vAlign w:val="center"/>
          </w:tcPr>
          <w:p w14:paraId="2A7A580D">
            <w:pPr>
              <w:rPr>
                <w:sz w:val="24"/>
                <w:szCs w:val="24"/>
              </w:rPr>
            </w:pPr>
          </w:p>
        </w:tc>
      </w:tr>
      <w:tr w14:paraId="03C88C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68C268">
            <w:pPr>
              <w:rPr>
                <w:sz w:val="24"/>
                <w:szCs w:val="24"/>
              </w:rPr>
            </w:pPr>
          </w:p>
        </w:tc>
        <w:tc>
          <w:tcPr>
            <w:vAlign w:val="center"/>
          </w:tcPr>
          <w:p w14:paraId="12E262DC">
            <w:pPr>
              <w:rPr>
                <w:sz w:val="24"/>
                <w:szCs w:val="24"/>
              </w:rPr>
            </w:pPr>
          </w:p>
        </w:tc>
        <w:tc>
          <w:tcPr>
            <w:vAlign w:val="center"/>
          </w:tcPr>
          <w:p w14:paraId="07A7AB00">
            <w:pPr>
              <w:rPr>
                <w:sz w:val="24"/>
                <w:szCs w:val="24"/>
              </w:rPr>
            </w:pPr>
          </w:p>
        </w:tc>
        <w:tc>
          <w:tcPr>
            <w:vAlign w:val="center"/>
          </w:tcPr>
          <w:p w14:paraId="60E8DA2D">
            <w:pPr>
              <w:rPr>
                <w:sz w:val="24"/>
                <w:szCs w:val="24"/>
              </w:rPr>
            </w:pPr>
          </w:p>
        </w:tc>
        <w:tc>
          <w:tcPr>
            <w:vAlign w:val="center"/>
          </w:tcPr>
          <w:p w14:paraId="6EE1D9DB">
            <w:pPr>
              <w:rPr>
                <w:sz w:val="24"/>
                <w:szCs w:val="24"/>
              </w:rPr>
            </w:pPr>
          </w:p>
        </w:tc>
        <w:tc>
          <w:tcPr>
            <w:vAlign w:val="center"/>
          </w:tcPr>
          <w:p w14:paraId="74F281C1">
            <w:pPr>
              <w:rPr>
                <w:sz w:val="24"/>
                <w:szCs w:val="24"/>
              </w:rPr>
            </w:pPr>
          </w:p>
        </w:tc>
        <w:tc>
          <w:tcPr>
            <w:vAlign w:val="center"/>
          </w:tcPr>
          <w:p w14:paraId="6FB7DACD">
            <w:pPr>
              <w:rPr>
                <w:sz w:val="24"/>
                <w:szCs w:val="24"/>
              </w:rPr>
            </w:pPr>
          </w:p>
        </w:tc>
        <w:tc>
          <w:tcPr>
            <w:vAlign w:val="center"/>
          </w:tcPr>
          <w:p w14:paraId="30282902">
            <w:pPr>
              <w:rPr>
                <w:sz w:val="24"/>
                <w:szCs w:val="24"/>
              </w:rPr>
            </w:pPr>
          </w:p>
        </w:tc>
        <w:tc>
          <w:tcPr>
            <w:vAlign w:val="center"/>
          </w:tcPr>
          <w:p w14:paraId="2B0F2AD7">
            <w:pPr>
              <w:rPr>
                <w:sz w:val="24"/>
                <w:szCs w:val="24"/>
              </w:rPr>
            </w:pPr>
          </w:p>
        </w:tc>
      </w:tr>
      <w:tr w14:paraId="2A5E68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29218C">
            <w:pPr>
              <w:rPr>
                <w:sz w:val="24"/>
                <w:szCs w:val="24"/>
              </w:rPr>
            </w:pPr>
          </w:p>
        </w:tc>
        <w:tc>
          <w:tcPr>
            <w:vAlign w:val="center"/>
          </w:tcPr>
          <w:p w14:paraId="66C80AAE">
            <w:pPr>
              <w:rPr>
                <w:sz w:val="24"/>
                <w:szCs w:val="24"/>
              </w:rPr>
            </w:pPr>
          </w:p>
        </w:tc>
        <w:tc>
          <w:tcPr>
            <w:vAlign w:val="center"/>
          </w:tcPr>
          <w:p w14:paraId="5DF48C6F">
            <w:pPr>
              <w:rPr>
                <w:sz w:val="24"/>
                <w:szCs w:val="24"/>
              </w:rPr>
            </w:pPr>
          </w:p>
        </w:tc>
        <w:tc>
          <w:tcPr>
            <w:vAlign w:val="center"/>
          </w:tcPr>
          <w:p w14:paraId="698549BD">
            <w:pPr>
              <w:rPr>
                <w:sz w:val="24"/>
                <w:szCs w:val="24"/>
              </w:rPr>
            </w:pPr>
          </w:p>
        </w:tc>
        <w:tc>
          <w:tcPr>
            <w:vAlign w:val="center"/>
          </w:tcPr>
          <w:p w14:paraId="5C7633B7">
            <w:pPr>
              <w:rPr>
                <w:sz w:val="24"/>
                <w:szCs w:val="24"/>
              </w:rPr>
            </w:pPr>
          </w:p>
        </w:tc>
        <w:tc>
          <w:tcPr>
            <w:vAlign w:val="center"/>
          </w:tcPr>
          <w:p w14:paraId="464D273B">
            <w:pPr>
              <w:rPr>
                <w:sz w:val="24"/>
                <w:szCs w:val="24"/>
              </w:rPr>
            </w:pPr>
          </w:p>
        </w:tc>
        <w:tc>
          <w:tcPr>
            <w:vAlign w:val="center"/>
          </w:tcPr>
          <w:p w14:paraId="679D9395">
            <w:pPr>
              <w:rPr>
                <w:sz w:val="24"/>
                <w:szCs w:val="24"/>
              </w:rPr>
            </w:pPr>
          </w:p>
        </w:tc>
        <w:tc>
          <w:tcPr>
            <w:vAlign w:val="center"/>
          </w:tcPr>
          <w:p w14:paraId="64A5433A">
            <w:pPr>
              <w:rPr>
                <w:sz w:val="24"/>
                <w:szCs w:val="24"/>
              </w:rPr>
            </w:pPr>
          </w:p>
        </w:tc>
        <w:tc>
          <w:tcPr>
            <w:vAlign w:val="center"/>
          </w:tcPr>
          <w:p w14:paraId="691ACEA3">
            <w:pPr>
              <w:rPr>
                <w:sz w:val="24"/>
                <w:szCs w:val="24"/>
              </w:rPr>
            </w:pPr>
          </w:p>
        </w:tc>
      </w:tr>
      <w:tr w14:paraId="2FE4F3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9172A8">
            <w:pPr>
              <w:rPr>
                <w:sz w:val="24"/>
                <w:szCs w:val="24"/>
              </w:rPr>
            </w:pPr>
          </w:p>
        </w:tc>
        <w:tc>
          <w:tcPr>
            <w:vAlign w:val="center"/>
          </w:tcPr>
          <w:p w14:paraId="787C4640">
            <w:pPr>
              <w:rPr>
                <w:sz w:val="24"/>
                <w:szCs w:val="24"/>
              </w:rPr>
            </w:pPr>
          </w:p>
        </w:tc>
        <w:tc>
          <w:tcPr>
            <w:vAlign w:val="center"/>
          </w:tcPr>
          <w:p w14:paraId="317CBEA3">
            <w:pPr>
              <w:rPr>
                <w:sz w:val="24"/>
                <w:szCs w:val="24"/>
              </w:rPr>
            </w:pPr>
          </w:p>
        </w:tc>
        <w:tc>
          <w:tcPr>
            <w:vAlign w:val="center"/>
          </w:tcPr>
          <w:p w14:paraId="274074C3">
            <w:pPr>
              <w:rPr>
                <w:sz w:val="24"/>
                <w:szCs w:val="24"/>
              </w:rPr>
            </w:pPr>
          </w:p>
        </w:tc>
        <w:tc>
          <w:tcPr>
            <w:vAlign w:val="center"/>
          </w:tcPr>
          <w:p w14:paraId="4F164F66">
            <w:pPr>
              <w:rPr>
                <w:sz w:val="24"/>
                <w:szCs w:val="24"/>
              </w:rPr>
            </w:pPr>
          </w:p>
        </w:tc>
        <w:tc>
          <w:tcPr>
            <w:vAlign w:val="center"/>
          </w:tcPr>
          <w:p w14:paraId="7A676EC5">
            <w:pPr>
              <w:rPr>
                <w:sz w:val="24"/>
                <w:szCs w:val="24"/>
              </w:rPr>
            </w:pPr>
          </w:p>
        </w:tc>
        <w:tc>
          <w:tcPr>
            <w:vAlign w:val="center"/>
          </w:tcPr>
          <w:p w14:paraId="246F728A">
            <w:pPr>
              <w:rPr>
                <w:sz w:val="24"/>
                <w:szCs w:val="24"/>
              </w:rPr>
            </w:pPr>
          </w:p>
        </w:tc>
        <w:tc>
          <w:tcPr>
            <w:vAlign w:val="center"/>
          </w:tcPr>
          <w:p w14:paraId="0144BAF7">
            <w:pPr>
              <w:rPr>
                <w:sz w:val="24"/>
                <w:szCs w:val="24"/>
              </w:rPr>
            </w:pPr>
          </w:p>
        </w:tc>
        <w:tc>
          <w:tcPr>
            <w:vAlign w:val="center"/>
          </w:tcPr>
          <w:p w14:paraId="381AA4AC">
            <w:pPr>
              <w:rPr>
                <w:sz w:val="24"/>
                <w:szCs w:val="24"/>
              </w:rPr>
            </w:pPr>
          </w:p>
        </w:tc>
      </w:tr>
      <w:tr w14:paraId="6F286B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8AFA04">
            <w:pPr>
              <w:rPr>
                <w:sz w:val="24"/>
                <w:szCs w:val="24"/>
              </w:rPr>
            </w:pPr>
          </w:p>
        </w:tc>
        <w:tc>
          <w:tcPr>
            <w:vAlign w:val="center"/>
          </w:tcPr>
          <w:p w14:paraId="385CE0A3">
            <w:pPr>
              <w:rPr>
                <w:sz w:val="24"/>
                <w:szCs w:val="24"/>
              </w:rPr>
            </w:pPr>
          </w:p>
        </w:tc>
        <w:tc>
          <w:tcPr>
            <w:vAlign w:val="center"/>
          </w:tcPr>
          <w:p w14:paraId="29FB830A">
            <w:pPr>
              <w:rPr>
                <w:sz w:val="24"/>
                <w:szCs w:val="24"/>
              </w:rPr>
            </w:pPr>
          </w:p>
        </w:tc>
        <w:tc>
          <w:tcPr>
            <w:vAlign w:val="center"/>
          </w:tcPr>
          <w:p w14:paraId="6AEA25CB">
            <w:pPr>
              <w:rPr>
                <w:sz w:val="24"/>
                <w:szCs w:val="24"/>
              </w:rPr>
            </w:pPr>
          </w:p>
        </w:tc>
        <w:tc>
          <w:tcPr>
            <w:vAlign w:val="center"/>
          </w:tcPr>
          <w:p w14:paraId="5A851512">
            <w:pPr>
              <w:rPr>
                <w:sz w:val="24"/>
                <w:szCs w:val="24"/>
              </w:rPr>
            </w:pPr>
          </w:p>
        </w:tc>
        <w:tc>
          <w:tcPr>
            <w:vAlign w:val="center"/>
          </w:tcPr>
          <w:p w14:paraId="26343DF1">
            <w:pPr>
              <w:rPr>
                <w:sz w:val="24"/>
                <w:szCs w:val="24"/>
              </w:rPr>
            </w:pPr>
          </w:p>
        </w:tc>
        <w:tc>
          <w:tcPr>
            <w:vAlign w:val="center"/>
          </w:tcPr>
          <w:p w14:paraId="005F26BB">
            <w:pPr>
              <w:rPr>
                <w:sz w:val="24"/>
                <w:szCs w:val="24"/>
              </w:rPr>
            </w:pPr>
          </w:p>
        </w:tc>
        <w:tc>
          <w:tcPr>
            <w:vAlign w:val="center"/>
          </w:tcPr>
          <w:p w14:paraId="0F24532C">
            <w:pPr>
              <w:rPr>
                <w:sz w:val="24"/>
                <w:szCs w:val="24"/>
              </w:rPr>
            </w:pPr>
          </w:p>
        </w:tc>
        <w:tc>
          <w:tcPr>
            <w:vAlign w:val="center"/>
          </w:tcPr>
          <w:p w14:paraId="50771678">
            <w:pPr>
              <w:rPr>
                <w:sz w:val="24"/>
                <w:szCs w:val="24"/>
              </w:rPr>
            </w:pPr>
          </w:p>
        </w:tc>
      </w:tr>
      <w:tr w14:paraId="2A57EB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457DC6">
            <w:pPr>
              <w:rPr>
                <w:sz w:val="24"/>
                <w:szCs w:val="24"/>
              </w:rPr>
            </w:pPr>
          </w:p>
        </w:tc>
        <w:tc>
          <w:tcPr>
            <w:vAlign w:val="center"/>
          </w:tcPr>
          <w:p w14:paraId="568DAD13">
            <w:pPr>
              <w:rPr>
                <w:sz w:val="24"/>
                <w:szCs w:val="24"/>
              </w:rPr>
            </w:pPr>
          </w:p>
        </w:tc>
        <w:tc>
          <w:tcPr>
            <w:vAlign w:val="center"/>
          </w:tcPr>
          <w:p w14:paraId="03DE0089">
            <w:pPr>
              <w:rPr>
                <w:sz w:val="24"/>
                <w:szCs w:val="24"/>
              </w:rPr>
            </w:pPr>
          </w:p>
        </w:tc>
        <w:tc>
          <w:tcPr>
            <w:vAlign w:val="center"/>
          </w:tcPr>
          <w:p w14:paraId="0BEECEC7">
            <w:pPr>
              <w:rPr>
                <w:sz w:val="24"/>
                <w:szCs w:val="24"/>
              </w:rPr>
            </w:pPr>
          </w:p>
        </w:tc>
        <w:tc>
          <w:tcPr>
            <w:vAlign w:val="center"/>
          </w:tcPr>
          <w:p w14:paraId="2EFEC372">
            <w:pPr>
              <w:rPr>
                <w:sz w:val="24"/>
                <w:szCs w:val="24"/>
              </w:rPr>
            </w:pPr>
          </w:p>
        </w:tc>
        <w:tc>
          <w:tcPr>
            <w:vAlign w:val="center"/>
          </w:tcPr>
          <w:p w14:paraId="27752614">
            <w:pPr>
              <w:rPr>
                <w:sz w:val="24"/>
                <w:szCs w:val="24"/>
              </w:rPr>
            </w:pPr>
          </w:p>
        </w:tc>
        <w:tc>
          <w:tcPr>
            <w:vAlign w:val="center"/>
          </w:tcPr>
          <w:p w14:paraId="62EE3817">
            <w:pPr>
              <w:rPr>
                <w:sz w:val="24"/>
                <w:szCs w:val="24"/>
              </w:rPr>
            </w:pPr>
          </w:p>
        </w:tc>
        <w:tc>
          <w:tcPr>
            <w:vAlign w:val="center"/>
          </w:tcPr>
          <w:p w14:paraId="0394805F">
            <w:pPr>
              <w:rPr>
                <w:sz w:val="24"/>
                <w:szCs w:val="24"/>
              </w:rPr>
            </w:pPr>
          </w:p>
        </w:tc>
        <w:tc>
          <w:tcPr>
            <w:vAlign w:val="center"/>
          </w:tcPr>
          <w:p w14:paraId="271195A1">
            <w:pPr>
              <w:rPr>
                <w:sz w:val="24"/>
                <w:szCs w:val="24"/>
              </w:rPr>
            </w:pPr>
          </w:p>
        </w:tc>
      </w:tr>
    </w:tbl>
    <w:p w14:paraId="481E80A0">
      <w:pPr>
        <w:widowControl w:val="0"/>
        <w:spacing w:line="240" w:lineRule="auto"/>
        <w:jc w:val="center"/>
        <w:rPr>
          <w:kern w:val="2"/>
          <w:szCs w:val="24"/>
          <w:lang w:val="en-US"/>
        </w:rPr>
      </w:pPr>
      <w:bookmarkStart w:id="23" w:name="统计计算表"/>
      <w:bookmarkEnd w:id="23"/>
    </w:p>
    <w:p w14:paraId="0A2BFFD0">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4D0968D6">
      <w:pPr>
        <w:pStyle w:val="2"/>
        <w:rPr>
          <w:kern w:val="2"/>
        </w:rPr>
      </w:pPr>
      <w:bookmarkStart w:id="24" w:name="_Toc420663553"/>
      <w:r>
        <w:rPr>
          <w:rFonts w:hint="eastAsia"/>
          <w:kern w:val="2"/>
        </w:rPr>
        <w:t>结论</w:t>
      </w:r>
      <w:bookmarkEnd w:id="24"/>
    </w:p>
    <w:p w14:paraId="6A427332">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9.1</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得7分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31D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F7E24CE">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01C0C866">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90F6D1A">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C7A507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9B66">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A09F7"/>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013A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qFormat/>
    <w:uiPriority w:val="0"/>
    <w:pPr>
      <w:spacing w:line="240" w:lineRule="auto"/>
    </w:pPr>
    <w:rPr>
      <w:szCs w:val="18"/>
    </w:rPr>
  </w:style>
  <w:style w:type="paragraph" w:styleId="15">
    <w:name w:val="footer"/>
    <w:basedOn w:val="1"/>
    <w:link w:val="27"/>
    <w:qFormat/>
    <w:uiPriority w:val="99"/>
    <w:pPr>
      <w:tabs>
        <w:tab w:val="center" w:pos="4153"/>
        <w:tab w:val="right" w:pos="8306"/>
      </w:tabs>
      <w:snapToGrid w:val="0"/>
    </w:pPr>
    <w:rPr>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qFormat/>
    <w:uiPriority w:val="0"/>
    <w:rPr>
      <w:sz w:val="18"/>
      <w:szCs w:val="18"/>
      <w:lang w:val="en-GB"/>
    </w:rPr>
  </w:style>
  <w:style w:type="character" w:styleId="26">
    <w:name w:val="Placeholder Text"/>
    <w:semiHidden/>
    <w:qFormat/>
    <w:uiPriority w:val="99"/>
    <w:rPr>
      <w:color w:val="808080"/>
    </w:rPr>
  </w:style>
  <w:style w:type="character" w:customStyle="1" w:styleId="27">
    <w:name w:val="页脚 字符"/>
    <w:link w:val="15"/>
    <w:qFormat/>
    <w:uiPriority w:val="99"/>
    <w:rPr>
      <w:sz w:val="18"/>
      <w:szCs w:val="18"/>
      <w:lang w:val="en-GB"/>
    </w:rPr>
  </w:style>
  <w:style w:type="character" w:customStyle="1" w:styleId="28">
    <w:name w:val="页眉 字符"/>
    <w:link w:val="16"/>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4</Pages>
  <Words>792</Words>
  <Characters>934</Characters>
  <Lines>5</Lines>
  <Paragraphs>1</Paragraphs>
  <TotalTime>11</TotalTime>
  <ScaleCrop>false</ScaleCrop>
  <LinksUpToDate>false</LinksUpToDate>
  <CharactersWithSpaces>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2024-12-30T07:28:00Z</dcterms:created>
  <dc:creator>君</dc:creator>
  <cp:lastModifiedBy>君</cp:lastModifiedBy>
  <dcterms:modified xsi:type="dcterms:W3CDTF">2024-12-30T07:28:52Z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5781E7A7D3D94E42BDBEFDB6F32F7484_11</vt:lpwstr>
  </property>
  <property fmtid="{D5CDD505-2E9C-101B-9397-08002B2CF9AE}" pid="4" name="KSOProductBuildVer">
    <vt:lpwstr>2052-12.1.0.19770</vt:lpwstr>
  </property>
</Properties>
</file>