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bookmarkStart w:id="186" w:name="_GoBack"/>
      <w:bookmarkEnd w:id="186"/>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呼和浩特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2025年03月15日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pPr>
              <w:spacing w:line="240" w:lineRule="atLeast"/>
              <w:rPr>
                <w:sz w:val="18"/>
                <w:szCs w:val="18"/>
              </w:rPr>
            </w:pPr>
            <w:bookmarkStart w:id="8" w:name="采用软件"/>
            <w:r>
              <w:rPr>
                <w:rFonts w:hint="eastAsia"/>
              </w:rPr>
              <w:t>建筑通风Vent2024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pPr>
              <w:spacing w:line="240" w:lineRule="atLeast"/>
              <w:rPr>
                <w:sz w:val="18"/>
                <w:szCs w:val="18"/>
              </w:rPr>
            </w:pPr>
            <w:bookmarkStart w:id="9" w:name="软件版本"/>
            <w:r>
              <w:rPr>
                <w:rFonts w:hint="eastAsia"/>
                <w:sz w:val="18"/>
                <w:szCs w:val="18"/>
              </w:rPr>
              <w:t>20240430(SP1)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240" w:lineRule="atLeast"/>
              <w:rPr>
                <w:sz w:val="18"/>
                <w:szCs w:val="18"/>
              </w:rPr>
            </w:pPr>
            <w:r>
              <w:rPr>
                <w:rFonts w:hint="eastAsia"/>
                <w:sz w:val="18"/>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pPr>
              <w:rPr>
                <w:rFonts w:cstheme="minorBidi"/>
                <w:kern w:val="2"/>
                <w:szCs w:val="18"/>
                <w:lang w:val="en-US"/>
              </w:rPr>
            </w:pPr>
            <w:bookmarkStart w:id="10" w:name="加密锁号"/>
            <w:r>
              <w:rPr>
                <w:rFonts w:hint="eastAsia"/>
              </w:rPr>
              <w:t>T17373732998</w:t>
            </w:r>
          </w:p>
        </w:tc>
      </w:tr>
    </w:tbl>
    <w:p>
      <w:pPr>
        <w:spacing w:line="240" w:lineRule="auto"/>
        <w:jc w:val="center"/>
        <w:rPr>
          <w:rFonts w:ascii="宋体" w:hAnsi="宋体"/>
          <w:b/>
          <w:bCs/>
          <w:sz w:val="30"/>
          <w:szCs w:val="32"/>
        </w:rPr>
      </w:pPr>
    </w:p>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_Toc20386 </w:instrText>
      </w:r>
      <w:r>
        <w:rPr>
          <w:rFonts w:ascii="宋体" w:hAnsi="宋体"/>
          <w:bCs w:val="0"/>
          <w:caps/>
        </w:rPr>
        <w:fldChar w:fldCharType="separate"/>
      </w:r>
      <w:r>
        <w:rPr>
          <w:rFonts w:hint="eastAsia"/>
        </w:rPr>
        <w:t>1 项目概况</w:t>
      </w:r>
      <w:r>
        <w:tab/>
      </w:r>
      <w:r>
        <w:fldChar w:fldCharType="begin"/>
      </w:r>
      <w:r>
        <w:instrText xml:space="preserve"> PAGEREF _Toc20386 \h </w:instrText>
      </w:r>
      <w:r>
        <w:fldChar w:fldCharType="separate"/>
      </w:r>
      <w:r>
        <w:t>4</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_Toc28801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_Toc28801 \h </w:instrText>
      </w:r>
      <w:r>
        <w:fldChar w:fldCharType="separate"/>
      </w:r>
      <w:r>
        <w:t>5</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_Toc8842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_Toc8842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_Toc27567 </w:instrText>
      </w:r>
      <w:r>
        <w:fldChar w:fldCharType="separate"/>
      </w:r>
      <w:r>
        <w:rPr>
          <w:rFonts w:hint="eastAsia"/>
        </w:rPr>
        <w:t>2 计算</w:t>
      </w:r>
      <w:r>
        <w:t>依据</w:t>
      </w:r>
      <w:r>
        <w:tab/>
      </w:r>
      <w:r>
        <w:fldChar w:fldCharType="begin"/>
      </w:r>
      <w:r>
        <w:instrText xml:space="preserve"> PAGEREF _Toc27567 \h </w:instrText>
      </w:r>
      <w:r>
        <w:fldChar w:fldCharType="separate"/>
      </w:r>
      <w:r>
        <w:t>7</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_Toc23281 </w:instrText>
      </w:r>
      <w:r>
        <w:fldChar w:fldCharType="separate"/>
      </w:r>
      <w:r>
        <w:rPr>
          <w:rFonts w:hint="eastAsia"/>
        </w:rPr>
        <w:t>3 参考</w:t>
      </w:r>
      <w:r>
        <w:t>标准</w:t>
      </w:r>
      <w:r>
        <w:tab/>
      </w:r>
      <w:r>
        <w:fldChar w:fldCharType="begin"/>
      </w:r>
      <w:r>
        <w:instrText xml:space="preserve"> PAGEREF _Toc23281 \h </w:instrText>
      </w:r>
      <w:r>
        <w:fldChar w:fldCharType="separate"/>
      </w:r>
      <w:r>
        <w:t>7</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_Toc13253 </w:instrText>
      </w:r>
      <w:r>
        <w:fldChar w:fldCharType="separate"/>
      </w:r>
      <w:r>
        <w:rPr>
          <w:rFonts w:hint="eastAsia"/>
        </w:rPr>
        <w:t>4 计算原理</w:t>
      </w:r>
      <w:r>
        <w:tab/>
      </w:r>
      <w:r>
        <w:fldChar w:fldCharType="begin"/>
      </w:r>
      <w:r>
        <w:instrText xml:space="preserve"> PAGEREF _Toc13253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_Toc24938 </w:instrText>
      </w:r>
      <w:r>
        <w:fldChar w:fldCharType="separate"/>
      </w:r>
      <w:r>
        <w:rPr>
          <w:rFonts w:hint="eastAsia"/>
          <w:lang w:val="en-GB"/>
        </w:rPr>
        <w:t xml:space="preserve">4.1 </w:t>
      </w:r>
      <w:r>
        <w:rPr>
          <w:rFonts w:hint="eastAsia"/>
        </w:rPr>
        <w:t>风场计算域</w:t>
      </w:r>
      <w:r>
        <w:tab/>
      </w:r>
      <w:r>
        <w:fldChar w:fldCharType="begin"/>
      </w:r>
      <w:r>
        <w:instrText xml:space="preserve"> PAGEREF _Toc24938 \h </w:instrText>
      </w:r>
      <w:r>
        <w:fldChar w:fldCharType="separate"/>
      </w:r>
      <w:r>
        <w:t>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_Toc27720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_Toc27720 \h </w:instrText>
      </w:r>
      <w:r>
        <w:fldChar w:fldCharType="separate"/>
      </w:r>
      <w:r>
        <w:t>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_Toc7099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_Toc7099 \h </w:instrText>
      </w:r>
      <w:r>
        <w:fldChar w:fldCharType="separate"/>
      </w:r>
      <w:r>
        <w:t>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_Toc15085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_Toc15085 \h </w:instrText>
      </w:r>
      <w:r>
        <w:fldChar w:fldCharType="separate"/>
      </w:r>
      <w:r>
        <w:t>9</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_Toc15264 </w:instrText>
      </w:r>
      <w:r>
        <w:fldChar w:fldCharType="separate"/>
      </w:r>
      <w:r>
        <w:rPr>
          <w:rFonts w:hint="eastAsia"/>
          <w:lang w:val="en-GB"/>
        </w:rPr>
        <w:t xml:space="preserve">4.2 </w:t>
      </w:r>
      <w:r>
        <w:rPr>
          <w:rFonts w:hint="eastAsia"/>
        </w:rPr>
        <w:t>网格划分</w:t>
      </w:r>
      <w:r>
        <w:tab/>
      </w:r>
      <w:r>
        <w:fldChar w:fldCharType="begin"/>
      </w:r>
      <w:r>
        <w:instrText xml:space="preserve"> PAGEREF _Toc15264 \h </w:instrText>
      </w:r>
      <w:r>
        <w:fldChar w:fldCharType="separate"/>
      </w:r>
      <w:r>
        <w:t>9</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_Toc10716 </w:instrText>
      </w:r>
      <w:r>
        <w:fldChar w:fldCharType="separate"/>
      </w:r>
      <w:r>
        <w:rPr>
          <w:rFonts w:hint="eastAsia"/>
          <w:lang w:val="en-GB"/>
        </w:rPr>
        <w:t xml:space="preserve">4.3 </w:t>
      </w:r>
      <w:r>
        <w:rPr>
          <w:rFonts w:hint="eastAsia"/>
        </w:rPr>
        <w:t>边界条件</w:t>
      </w:r>
      <w:r>
        <w:tab/>
      </w:r>
      <w:r>
        <w:fldChar w:fldCharType="begin"/>
      </w:r>
      <w:r>
        <w:instrText xml:space="preserve"> PAGEREF _Toc10716 \h </w:instrText>
      </w:r>
      <w:r>
        <w:fldChar w:fldCharType="separate"/>
      </w:r>
      <w:r>
        <w:t>12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_Toc11418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_Toc11418 \h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_Toc8381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_Toc8381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_Toc24880 </w:instrText>
      </w:r>
      <w:r>
        <w:fldChar w:fldCharType="separate"/>
      </w:r>
      <w:r>
        <w:rPr>
          <w:rFonts w:hint="eastAsia"/>
          <w:lang w:val="en-GB"/>
        </w:rPr>
        <w:t xml:space="preserve">4.4 </w:t>
      </w:r>
      <w:r>
        <w:rPr>
          <w:rFonts w:hint="eastAsia"/>
        </w:rPr>
        <w:t>湍流模型</w:t>
      </w:r>
      <w:r>
        <w:tab/>
      </w:r>
      <w:r>
        <w:fldChar w:fldCharType="begin"/>
      </w:r>
      <w:r>
        <w:instrText xml:space="preserve"> PAGEREF _Toc24880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_Toc21360 </w:instrText>
      </w:r>
      <w:r>
        <w:fldChar w:fldCharType="separate"/>
      </w:r>
      <w:r>
        <w:rPr>
          <w:rFonts w:hint="eastAsia"/>
          <w:lang w:val="en-GB"/>
        </w:rPr>
        <w:t xml:space="preserve">4.5 </w:t>
      </w:r>
      <w:r>
        <w:rPr>
          <w:rFonts w:hint="eastAsia"/>
        </w:rPr>
        <w:t>求解计算</w:t>
      </w:r>
      <w:r>
        <w:tab/>
      </w:r>
      <w:r>
        <w:fldChar w:fldCharType="begin"/>
      </w:r>
      <w:r>
        <w:instrText xml:space="preserve"> PAGEREF _Toc21360 \h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_Toc853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_Toc853 \h </w:instrText>
      </w:r>
      <w:r>
        <w:fldChar w:fldCharType="separate"/>
      </w:r>
      <w:r>
        <w:t>15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_Toc26824 </w:instrText>
      </w:r>
      <w:r>
        <w:fldChar w:fldCharType="separate"/>
      </w:r>
      <w:r>
        <w:rPr>
          <w:rFonts w:hint="eastAsia"/>
        </w:rPr>
        <w:t>5 结果</w:t>
      </w:r>
      <w:r>
        <w:t>分析</w:t>
      </w:r>
      <w:r>
        <w:tab/>
      </w:r>
      <w:r>
        <w:fldChar w:fldCharType="begin"/>
      </w:r>
      <w:r>
        <w:instrText xml:space="preserve"> PAGEREF _Toc26824 \h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_Toc6408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_Toc6408 \h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_Toc29610 </w:instrText>
      </w:r>
      <w:r>
        <w:fldChar w:fldCharType="separate"/>
      </w:r>
      <w:r>
        <w:rPr>
          <w:rFonts w:hint="eastAsia"/>
          <w:lang w:val="en-GB"/>
        </w:rPr>
        <w:t xml:space="preserve">5.2 </w:t>
      </w:r>
      <w:r>
        <w:rPr>
          <w:rFonts w:hint="eastAsia"/>
        </w:rPr>
        <w:t>冬季工况</w:t>
      </w:r>
      <w:r>
        <w:tab/>
      </w:r>
      <w:r>
        <w:fldChar w:fldCharType="begin"/>
      </w:r>
      <w:r>
        <w:instrText xml:space="preserve"> PAGEREF _Toc29610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_Toc9298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_Toc9298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_Toc2211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_Toc2211 \h </w:instrText>
      </w:r>
      <w:r>
        <w:fldChar w:fldCharType="separate"/>
      </w:r>
      <w:r>
        <w:t>17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_Toc4357 </w:instrText>
      </w:r>
      <w:r>
        <w:fldChar w:fldCharType="separate"/>
      </w:r>
      <w:r>
        <w:rPr>
          <w:rFonts w:hint="eastAsia" w:eastAsia="宋体"/>
          <w:szCs w:val="24"/>
          <w:lang w:val="en-GB"/>
        </w:rPr>
        <w:t xml:space="preserve">5.2.3 </w:t>
      </w:r>
      <w:r>
        <w:rPr>
          <w:rFonts w:hint="eastAsia"/>
        </w:rPr>
        <w:t>冬季工况风速/风速放大系数达标结果汇总</w:t>
      </w:r>
      <w:r>
        <w:tab/>
      </w:r>
      <w:r>
        <w:fldChar w:fldCharType="begin"/>
      </w:r>
      <w:r>
        <w:instrText xml:space="preserve"> PAGEREF _Toc4357 \h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_Toc20299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_Toc20299 \h </w:instrText>
      </w:r>
      <w:r>
        <w:fldChar w:fldCharType="separate"/>
      </w:r>
      <w:r>
        <w:t>18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_Toc26601 </w:instrText>
      </w:r>
      <w:r>
        <w:fldChar w:fldCharType="separate"/>
      </w:r>
      <w:r>
        <w:rPr>
          <w:rFonts w:hint="eastAsia"/>
          <w:lang w:val="en-GB"/>
        </w:rPr>
        <w:t xml:space="preserve">5.3 </w:t>
      </w:r>
      <w:r>
        <w:rPr>
          <w:rFonts w:hint="eastAsia"/>
        </w:rPr>
        <w:t>夏季工况</w:t>
      </w:r>
      <w:r>
        <w:tab/>
      </w:r>
      <w:r>
        <w:fldChar w:fldCharType="begin"/>
      </w:r>
      <w:r>
        <w:instrText xml:space="preserve"> PAGEREF _Toc26601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_Toc22189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_Toc22189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_Toc1969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_Toc1969 \h </w:instrText>
      </w:r>
      <w:r>
        <w:fldChar w:fldCharType="separate"/>
      </w:r>
      <w:r>
        <w:t>23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_Toc18214 </w:instrText>
      </w:r>
      <w:r>
        <w:fldChar w:fldCharType="separate"/>
      </w:r>
      <w:r>
        <w:rPr>
          <w:rFonts w:hint="eastAsia" w:eastAsia="宋体"/>
          <w:szCs w:val="24"/>
          <w:lang w:val="en-GB"/>
        </w:rPr>
        <w:t xml:space="preserve">5.3.3 </w:t>
      </w:r>
      <w:r>
        <w:rPr>
          <w:rFonts w:hint="eastAsia"/>
        </w:rPr>
        <w:t>旋涡区/无风区达标结果汇总</w:t>
      </w:r>
      <w:r>
        <w:tab/>
      </w:r>
      <w:r>
        <w:fldChar w:fldCharType="begin"/>
      </w:r>
      <w:r>
        <w:instrText xml:space="preserve"> PAGEREF _Toc18214 \h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_Toc29175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_Toc29175 \h </w:instrText>
      </w:r>
      <w:r>
        <w:fldChar w:fldCharType="separate"/>
      </w:r>
      <w:r>
        <w:t>24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_Toc21480 </w:instrText>
      </w:r>
      <w:r>
        <w:fldChar w:fldCharType="separate"/>
      </w:r>
      <w:r>
        <w:rPr>
          <w:rFonts w:hint="eastAsia"/>
          <w:lang w:val="en-GB"/>
        </w:rPr>
        <w:t xml:space="preserve">5.4 </w:t>
      </w:r>
      <w:r>
        <w:rPr>
          <w:rFonts w:hint="eastAsia"/>
        </w:rPr>
        <w:t>过渡季工况</w:t>
      </w:r>
      <w:r>
        <w:tab/>
      </w:r>
      <w:r>
        <w:fldChar w:fldCharType="begin"/>
      </w:r>
      <w:r>
        <w:instrText xml:space="preserve"> PAGEREF _Toc21480 \h </w:instrText>
      </w:r>
      <w:r>
        <w:fldChar w:fldCharType="separate"/>
      </w:r>
      <w:r>
        <w:t>26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_Toc27929 </w:instrText>
      </w:r>
      <w:r>
        <w:fldChar w:fldCharType="separate"/>
      </w:r>
      <w:r>
        <w:rPr>
          <w:rFonts w:hint="eastAsia" w:eastAsia="宋体"/>
          <w:szCs w:val="24"/>
          <w:lang w:val="en-GB"/>
        </w:rPr>
        <w:t xml:space="preserve">5.4.1 </w:t>
      </w:r>
      <w:r>
        <w:rPr>
          <w:rFonts w:hint="eastAsia"/>
        </w:rPr>
        <w:t>无风区计算分析</w:t>
      </w:r>
      <w:r>
        <w:tab/>
      </w:r>
      <w:r>
        <w:fldChar w:fldCharType="begin"/>
      </w:r>
      <w:r>
        <w:instrText xml:space="preserve"> PAGEREF _Toc27929 \h </w:instrText>
      </w:r>
      <w:r>
        <w:fldChar w:fldCharType="separate"/>
      </w:r>
      <w:r>
        <w:t>27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_Toc29161 </w:instrText>
      </w:r>
      <w:r>
        <w:fldChar w:fldCharType="separate"/>
      </w:r>
      <w:r>
        <w:rPr>
          <w:rFonts w:hint="eastAsia" w:eastAsia="宋体"/>
          <w:szCs w:val="24"/>
          <w:lang w:val="en-GB"/>
        </w:rPr>
        <w:t xml:space="preserve">5.4.2 </w:t>
      </w:r>
      <w:r>
        <w:rPr>
          <w:rFonts w:hint="eastAsia"/>
        </w:rPr>
        <w:t>旋涡区分析</w:t>
      </w:r>
      <w:r>
        <w:tab/>
      </w:r>
      <w:r>
        <w:fldChar w:fldCharType="begin"/>
      </w:r>
      <w:r>
        <w:instrText xml:space="preserve"> PAGEREF _Toc29161 \h </w:instrText>
      </w:r>
      <w:r>
        <w:fldChar w:fldCharType="separate"/>
      </w:r>
      <w:r>
        <w:t>27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_Toc2561 </w:instrText>
      </w:r>
      <w:r>
        <w:fldChar w:fldCharType="separate"/>
      </w:r>
      <w:r>
        <w:rPr>
          <w:rFonts w:hint="eastAsia" w:eastAsia="宋体"/>
          <w:szCs w:val="24"/>
          <w:lang w:val="en-GB"/>
        </w:rPr>
        <w:t xml:space="preserve">5.4.3 </w:t>
      </w:r>
      <w:r>
        <w:rPr>
          <w:rFonts w:hint="eastAsia"/>
        </w:rPr>
        <w:t>旋涡区/无风区达标结果汇总</w:t>
      </w:r>
      <w:r>
        <w:tab/>
      </w:r>
      <w:r>
        <w:fldChar w:fldCharType="begin"/>
      </w:r>
      <w:r>
        <w:instrText xml:space="preserve"> PAGEREF _Toc2561 \h </w:instrText>
      </w:r>
      <w:r>
        <w:fldChar w:fldCharType="separate"/>
      </w:r>
      <w:r>
        <w:t>28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_Toc18190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_Toc18190 \h </w:instrText>
      </w:r>
      <w:r>
        <w:fldChar w:fldCharType="separate"/>
      </w:r>
      <w:r>
        <w:t>28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_Toc21787 </w:instrText>
      </w:r>
      <w:r>
        <w:fldChar w:fldCharType="separate"/>
      </w:r>
      <w:r>
        <w:rPr>
          <w:rFonts w:hint="eastAsia"/>
          <w:lang w:val="en-GB"/>
        </w:rPr>
        <w:t xml:space="preserve">5.5 </w:t>
      </w:r>
      <w:r>
        <w:rPr>
          <w:rFonts w:hint="eastAsia"/>
        </w:rPr>
        <w:t>结论</w:t>
      </w:r>
      <w:r>
        <w:tab/>
      </w:r>
      <w:r>
        <w:fldChar w:fldCharType="begin"/>
      </w:r>
      <w:r>
        <w:instrText xml:space="preserve"> PAGEREF _Toc21787 \h </w:instrText>
      </w:r>
      <w:r>
        <w:fldChar w:fldCharType="separate"/>
      </w:r>
      <w:r>
        <w:t>31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_Toc7110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_Toc7110 \h </w:instrText>
      </w:r>
      <w:r>
        <w:fldChar w:fldCharType="separate"/>
      </w:r>
      <w:r>
        <w:t>31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_Toc29700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_Toc29700 \h </w:instrText>
      </w:r>
      <w:r>
        <w:fldChar w:fldCharType="separate"/>
      </w:r>
      <w:r>
        <w:t>31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_Toc10872 </w:instrText>
      </w:r>
      <w:r>
        <w:fldChar w:fldCharType="separate"/>
      </w:r>
      <w:r>
        <w:rPr>
          <w:rFonts w:hint="eastAsia"/>
          <w:lang w:val="en-GB"/>
        </w:rPr>
        <w:t xml:space="preserve">5.6 </w:t>
      </w:r>
      <w:r>
        <w:rPr>
          <w:rFonts w:hint="eastAsia"/>
        </w:rPr>
        <w:t>附录</w:t>
      </w:r>
      <w:r>
        <w:tab/>
      </w:r>
      <w:r>
        <w:fldChar w:fldCharType="begin"/>
      </w:r>
      <w:r>
        <w:instrText xml:space="preserve"> PAGEREF _Toc10872 \h </w:instrText>
      </w:r>
      <w:r>
        <w:fldChar w:fldCharType="separate"/>
      </w:r>
      <w:r>
        <w:t>32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_Toc15807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_Toc15807 \h </w:instrText>
      </w:r>
      <w:r>
        <w:fldChar w:fldCharType="separate"/>
      </w:r>
      <w:r>
        <w:t>32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_Toc17268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_Toc17268 \h </w:instrText>
      </w:r>
      <w:r>
        <w:fldChar w:fldCharType="separate"/>
      </w:r>
      <w:r>
        <w:t>32</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11" w:name="_Toc20386"/>
      <w:bookmarkStart w:id="12" w:name="_Toc452108759"/>
      <w:r>
        <w:rPr>
          <w:rFonts w:hint="eastAsia"/>
        </w:rPr>
        <w:t>项目概况</w:t>
      </w:r>
      <w:bookmarkEnd w:id="11"/>
    </w:p>
    <w:p>
      <w:pPr>
        <w:pStyle w:val="3"/>
        <w:ind w:firstLine="420"/>
        <w:rPr>
          <w:lang w:val="en-US"/>
        </w:rPr>
      </w:pPr>
      <w:bookmarkStart w:id="13"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4" w:name="_Toc28801"/>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781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7" w:name="_Toc8842"/>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8004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_Toc27567"/>
      <w:bookmarkStart w:id="21" w:name="TitleFormat"/>
      <w:bookmarkStart w:id="22" w:name="_Toc452108762"/>
      <w:r>
        <w:rPr>
          <w:rFonts w:hint="eastAsia"/>
        </w:rPr>
        <w:t>计算</w:t>
      </w:r>
      <w:r>
        <w:t>依据</w:t>
      </w:r>
      <w:bookmarkEnd w:id="20"/>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23" w:name="参考标准名称1"/>
      <w:r>
        <w:rPr>
          <w:rFonts w:hint="eastAsia"/>
          <w:lang w:val="en-US"/>
        </w:rPr>
        <w:t>《绿色建筑评价标准》GB/T50378-2019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4" w:name="_Toc23281"/>
      <w:bookmarkStart w:id="25" w:name="_Toc452108763"/>
      <w:r>
        <w:rPr>
          <w:rFonts w:hint="eastAsia"/>
        </w:rPr>
        <w:t>参考</w:t>
      </w:r>
      <w:r>
        <w:t>标准</w:t>
      </w:r>
      <w:bookmarkEnd w:id="24"/>
    </w:p>
    <w:p>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《绿色建筑评价标准》GB/T50378-2019中有关室外风环境的条目要求。具体要求如下：</w:t>
      </w:r>
    </w:p>
    <w:p>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pPr>
        <w:pStyle w:val="2"/>
      </w:pPr>
      <w:bookmarkStart w:id="34" w:name="_Toc13253"/>
      <w:r>
        <w:rPr>
          <w:rFonts w:hint="eastAsia"/>
        </w:rPr>
        <w:t>计算原理</w:t>
      </w:r>
      <w:bookmarkEnd w:id="34"/>
    </w:p>
    <w:p>
      <w:pPr>
        <w:pStyle w:val="4"/>
        <w:numPr>
          <w:ilvl w:val="1"/>
          <w:numId w:val="3"/>
        </w:numPr>
      </w:pPr>
      <w:bookmarkStart w:id="35" w:name="_Toc509844740"/>
      <w:bookmarkStart w:id="36" w:name="_Toc24938"/>
      <w:bookmarkStart w:id="37" w:name="_Toc451698937"/>
      <w:bookmarkStart w:id="38" w:name="_Toc452108765"/>
      <w:r>
        <w:rPr>
          <w:rFonts w:hint="eastAsia"/>
        </w:rPr>
        <w:t>风场计算域</w:t>
      </w:r>
      <w:bookmarkEnd w:id="35"/>
      <w:bookmarkEnd w:id="36"/>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9" w:name="季节1"/>
      <w:bookmarkStart w:id="40" w:name="_Toc27720"/>
      <w:r>
        <w:rPr>
          <w:rFonts w:hint="eastAsia"/>
        </w:rPr>
        <w:t>冬季</w:t>
      </w:r>
      <w:bookmarkEnd w:id="39"/>
      <w:r>
        <w:rPr>
          <w:rFonts w:hint="eastAsia"/>
        </w:rPr>
        <w:t>工况风场计算域</w:t>
      </w:r>
      <w:bookmarkEnd w:id="40"/>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2" w:name="冬季风场X尺寸"/>
            <w:r>
              <w:t>652</w:t>
            </w:r>
            <w:bookmarkEnd w:id="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3" w:name="冬季风场Y尺寸"/>
            <w:r>
              <w:t>663</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4" w:name="冬季风场Z尺寸"/>
            <w:r>
              <w:t>115</w:t>
            </w:r>
            <w:bookmarkEnd w:id="44"/>
          </w:p>
        </w:tc>
      </w:tr>
    </w:tbl>
    <w:p>
      <w:pPr>
        <w:pStyle w:val="3"/>
        <w:ind w:firstLine="0" w:firstLineChars="0"/>
        <w:jc w:val="center"/>
        <w:rPr>
          <w:lang w:val="en-US"/>
        </w:rPr>
      </w:pPr>
      <w:bookmarkStart w:id="45" w:name="冬季工况风场计算域图示"/>
      <w:bookmarkEnd w:id="45"/>
      <w:r>
        <w:drawing>
          <wp:inline distT="0" distB="0" distL="0" distR="0">
            <wp:extent cx="5667375" cy="36099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pPr>
        <w:pStyle w:val="5"/>
        <w:numPr>
          <w:ilvl w:val="2"/>
          <w:numId w:val="3"/>
        </w:numPr>
      </w:pPr>
      <w:bookmarkStart w:id="47" w:name="_Toc7099"/>
      <w:r>
        <w:rPr>
          <w:rFonts w:hint="eastAsia"/>
        </w:rPr>
        <w:t>夏季工况风场计算域</w:t>
      </w:r>
      <w:bookmarkEnd w:id="47"/>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119</w:t>
            </w:r>
          </w:p>
        </w:tc>
      </w:tr>
    </w:tbl>
    <w:p>
      <w:pPr>
        <w:pStyle w:val="3"/>
        <w:ind w:firstLine="0" w:firstLineChars="0"/>
        <w:jc w:val="center"/>
        <w:rPr>
          <w:lang w:val="en-US"/>
        </w:rPr>
      </w:pPr>
      <w:r>
        <w:drawing>
          <wp:inline distT="0" distB="0" distL="0" distR="0">
            <wp:extent cx="5667375" cy="36099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5"/>
        <w:numPr>
          <w:ilvl w:val="2"/>
          <w:numId w:val="3"/>
        </w:numPr>
      </w:pPr>
      <w:bookmarkStart w:id="48" w:name="_Toc15085"/>
      <w:r>
        <w:rPr>
          <w:rFonts w:hint="eastAsia"/>
        </w:rPr>
        <w:t>过渡季工况风场计算域</w:t>
      </w:r>
      <w:bookmarkEnd w:id="48"/>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119</w:t>
            </w:r>
          </w:p>
        </w:tc>
      </w:tr>
    </w:tbl>
    <w:p>
      <w:pPr>
        <w:pStyle w:val="3"/>
        <w:ind w:firstLine="0" w:firstLineChars="0"/>
        <w:jc w:val="center"/>
        <w:rPr>
          <w:lang w:val="en-US"/>
        </w:rPr>
      </w:pPr>
      <w:r>
        <w:drawing>
          <wp:inline distT="0" distB="0" distL="0" distR="0">
            <wp:extent cx="5667375" cy="36099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609975"/>
                    </a:xfrm>
                    <a:prstGeom prst="rect">
                      <a:avLst/>
                    </a:prstGeom>
                  </pic:spPr>
                </pic:pic>
              </a:graphicData>
            </a:graphic>
          </wp:inline>
        </w:drawing>
      </w:r>
    </w:p>
    <w:p>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pPr>
        <w:pStyle w:val="3"/>
        <w:ind w:firstLine="315" w:firstLineChars="150"/>
        <w:rPr>
          <w:lang w:val="en-US"/>
        </w:rPr>
      </w:pPr>
      <w:bookmarkStart w:id="49" w:name="计算域"/>
      <w:bookmarkEnd w:id="49"/>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50" w:name="_Toc15264"/>
      <w:bookmarkStart w:id="51" w:name="_Toc509844741"/>
      <w:r>
        <w:rPr>
          <w:rFonts w:hint="eastAsia"/>
        </w:rPr>
        <w:t>网格划分</w:t>
      </w:r>
      <w:bookmarkEnd w:id="50"/>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r>
        <w:rPr>
          <w:rFonts w:hint="eastAsia"/>
        </w:rPr>
        <w:t>1）一般网格：指除靠近地面和建筑以外的网格，通常不需要特别加密处理</w:t>
      </w:r>
    </w:p>
    <w:p>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最小网格尺寸：计算域内最小网格的尺寸；</w:t>
      </w:r>
    </w:p>
    <w:p>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建筑表面细分层厚度：靠近建筑的区域要进行细分，这个包围着建筑的区域边界与建筑表面的距离为建筑表面细分层厚度；</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firstLine="210" w:firstLineChars="100"/>
      </w:pPr>
      <w:r>
        <w:rPr>
          <w:rFonts w:hint="eastAsia"/>
        </w:rPr>
        <w:t>以下为本项目的网格划分信息，上述网格方案对网格的控制分别体现在相应的网格参数中：</w:t>
      </w:r>
    </w:p>
    <w:p>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lang w:val="en-US"/>
              </w:rPr>
            </w:pPr>
            <w:bookmarkStart w:id="53" w:name="冬季网格总数"/>
            <w:r>
              <w:t>696663</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4" w:name="冬季分弧精度"/>
            <w:r>
              <w:t>0.24</w:t>
            </w:r>
            <w:bookmarkEnd w:id="54"/>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5" w:name="最大网格尺寸"/>
            <w:r>
              <w:t>16.0</w:t>
            </w:r>
            <w:bookmarkEnd w:id="5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6" w:name="最小网格尺寸"/>
            <w:r>
              <w:t>4.0</w:t>
            </w:r>
            <w:bookmarkEnd w:id="5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7" w:name="建筑表面细分层厚度"/>
            <w:r>
              <w:t>4.0</w:t>
            </w:r>
            <w:bookmarkEnd w:id="5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8" w:name="远场网格尺寸"/>
            <w:r>
              <w:t>8.0</w:t>
            </w:r>
            <w:bookmarkEnd w:id="5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9" w:name="近场网格尺寸"/>
            <w:r>
              <w:t>4.0</w:t>
            </w:r>
            <w:bookmarkEnd w:id="59"/>
          </w:p>
        </w:tc>
      </w:tr>
    </w:tbl>
    <w:p>
      <w:pPr>
        <w:rPr>
          <w:szCs w:val="21"/>
          <w:lang w:val="en-US"/>
        </w:rPr>
      </w:pPr>
    </w:p>
    <w:p>
      <w:pPr>
        <w:jc w:val="center"/>
      </w:pPr>
      <w:bookmarkStart w:id="60" w:name="网格图"/>
      <w:bookmarkEnd w:id="60"/>
      <w:r>
        <w:drawing>
          <wp:inline distT="0" distB="0" distL="0" distR="0">
            <wp:extent cx="5667375" cy="3705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lang w:val="en-US"/>
              </w:rPr>
            </w:pPr>
            <w:r>
              <w:t>841927</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16.0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bl>
    <w:p>
      <w:pPr>
        <w:rPr>
          <w:szCs w:val="21"/>
          <w:lang w:val="en-US"/>
        </w:rPr>
      </w:pPr>
    </w:p>
    <w:p>
      <w:pPr>
        <w:jc w:val="center"/>
      </w:pPr>
      <w:r>
        <w:drawing>
          <wp:inline distT="0" distB="0" distL="0" distR="0">
            <wp:extent cx="5667375" cy="3705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lang w:val="en-US"/>
              </w:rPr>
            </w:pPr>
            <w:r>
              <w:t>841874</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16.0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bookmarkEnd w:id="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bl>
    <w:p>
      <w:pPr>
        <w:rPr>
          <w:szCs w:val="21"/>
          <w:lang w:val="en-US"/>
        </w:rPr>
      </w:pPr>
    </w:p>
    <w:p>
      <w:pPr>
        <w:jc w:val="center"/>
      </w:pPr>
      <w:r>
        <w:drawing>
          <wp:inline distT="0" distB="0" distL="0" distR="0">
            <wp:extent cx="5667375" cy="3705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a:stretch>
                      <a:fillRect/>
                    </a:stretch>
                  </pic:blipFill>
                  <pic:spPr>
                    <a:xfrm>
                      <a:off x="0" y="0"/>
                      <a:ext cx="5667375" cy="370522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pPr>
        <w:pStyle w:val="3"/>
        <w:ind w:firstLine="0" w:firstLineChars="0"/>
        <w:rPr>
          <w:rFonts w:ascii="黑体" w:hAnsi="黑体" w:eastAsia="黑体"/>
          <w:szCs w:val="20"/>
          <w:lang w:val="en-US"/>
        </w:rPr>
      </w:pPr>
    </w:p>
    <w:p>
      <w:pPr>
        <w:pStyle w:val="4"/>
        <w:numPr>
          <w:ilvl w:val="1"/>
          <w:numId w:val="3"/>
        </w:numPr>
      </w:pPr>
      <w:bookmarkStart w:id="63" w:name="_Toc509844742"/>
      <w:bookmarkStart w:id="64" w:name="_Toc10716"/>
      <w:r>
        <w:rPr>
          <w:rFonts w:hint="eastAsia"/>
        </w:rPr>
        <w:t>边界条件</w:t>
      </w:r>
      <w:bookmarkEnd w:id="63"/>
      <w:bookmarkEnd w:id="64"/>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65" w:name="_Toc509844743"/>
      <w:bookmarkStart w:id="66" w:name="_Toc11418"/>
      <w:r>
        <w:rPr>
          <w:rFonts w:hint="eastAsia"/>
        </w:rPr>
        <w:t>入口与出口边界条件</w:t>
      </w:r>
      <w:bookmarkEnd w:id="65"/>
      <w:bookmarkEnd w:id="66"/>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0.28</w:t>
      </w:r>
      <w:bookmarkEnd w:id="67"/>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68" w:name="_Toc509844744"/>
      <w:bookmarkStart w:id="69" w:name="_Toc8381"/>
      <w:r>
        <w:rPr>
          <w:rFonts w:hint="eastAsia"/>
        </w:rPr>
        <w:t>壁面边界条件</w:t>
      </w:r>
      <w:bookmarkEnd w:id="68"/>
      <w:bookmarkEnd w:id="69"/>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70" w:name="_Toc24880"/>
      <w:r>
        <w:rPr>
          <w:rFonts w:hint="eastAsia"/>
        </w:rPr>
        <w:t>湍流模型</w:t>
      </w:r>
      <w:bookmarkEnd w:id="37"/>
      <w:bookmarkEnd w:id="38"/>
      <w:bookmarkEnd w:id="70"/>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71" w:name="_Toc451698939"/>
      <w:bookmarkStart w:id="72" w:name="_Toc452108767"/>
      <w:bookmarkStart w:id="73" w:name="_Toc21360"/>
      <w:r>
        <w:rPr>
          <w:rFonts w:hint="eastAsia"/>
        </w:rPr>
        <w:t>求解计算</w:t>
      </w:r>
      <w:bookmarkEnd w:id="71"/>
      <w:bookmarkEnd w:id="72"/>
      <w:bookmarkEnd w:id="73"/>
    </w:p>
    <w:p>
      <w:pPr>
        <w:pStyle w:val="3"/>
        <w:numPr>
          <w:ilvl w:val="0"/>
          <w:numId w:val="5"/>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5"/>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76" w:name="_Toc509844747"/>
      <w:bookmarkStart w:id="77" w:name="_Toc853"/>
      <w:r>
        <w:rPr>
          <w:rFonts w:hint="eastAsia"/>
        </w:rPr>
        <w:t>风速放大系数计算</w:t>
      </w:r>
      <w:bookmarkEnd w:id="76"/>
      <w:bookmarkEnd w:id="77"/>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3.3pt;width:12.7pt;" o:ole="t" filled="f" o:preferrelative="t" stroked="f" coordsize="21600,21600">
            <v:path/>
            <v:fill on="f" focussize="0,0"/>
            <v:stroke on="f" joinstyle="miter"/>
            <v:imagedata r:id="rId66" o:title=""/>
            <o:lock v:ext="edit" aspectratio="t"/>
            <w10:wrap type="none"/>
            <w10:anchorlock/>
          </v:shape>
          <o:OLEObject Type="Embed" ProgID="Equation.3" ShapeID="_x0000_i1028" DrawAspect="Content" ObjectID="_1468075728" r:id="rId65">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75pt;width:23pt;" o:ole="t" filled="f" o:preferrelative="t" stroked="f" coordsize="21600,21600">
            <v:path/>
            <v:fill on="f" focussize="0,0"/>
            <v:stroke on="f" joinstyle="miter"/>
            <v:imagedata r:id="rId68" o:title=""/>
            <o:lock v:ext="edit" aspectratio="t"/>
            <w10:wrap type="none"/>
            <w10:anchorlock/>
          </v:shape>
          <o:OLEObject Type="Embed" ProgID="Equation.3" ShapeID="_x0000_i1029" DrawAspect="Content" ObjectID="_1468075729" r:id="rId67">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19.35pt;width:23pt;" o:ole="t" filled="f" o:preferrelative="t" stroked="f" coordsize="21600,21600">
            <v:path/>
            <v:fill on="f" focussize="0,0"/>
            <v:stroke on="f" joinstyle="miter"/>
            <v:imagedata r:id="rId70" o:title=""/>
            <o:lock v:ext="edit" aspectratio="t"/>
            <w10:wrap type="none"/>
            <w10:anchorlock/>
          </v:shape>
          <o:OLEObject Type="Embed" ProgID="Equation.3" ShapeID="_x0000_i1030" DrawAspect="Content" ObjectID="_1468075730" r:id="rId69">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19.35pt;width:19.35pt;" o:ole="t" filled="f" o:preferrelative="t" stroked="f" coordsize="21600,21600">
            <v:path/>
            <v:fill on="f" focussize="0,0"/>
            <v:stroke on="f" joinstyle="miter"/>
            <v:imagedata r:id="rId72" o:title=""/>
            <o:lock v:ext="edit" aspectratio="t"/>
            <w10:wrap type="none"/>
            <w10:anchorlock/>
          </v:shape>
          <o:OLEObject Type="Embed" ProgID="Equation.3" ShapeID="_x0000_i1031" DrawAspect="Content" ObjectID="_1468075731" r:id="rId71">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79" w:name="_Toc452108768"/>
      <w:bookmarkStart w:id="80" w:name="_Toc26824"/>
      <w:r>
        <w:rPr>
          <w:rFonts w:hint="eastAsia"/>
        </w:rPr>
        <w:t>结果</w:t>
      </w:r>
      <w:r>
        <w:t>分析</w:t>
      </w:r>
      <w:bookmarkEnd w:id="79"/>
      <w:bookmarkEnd w:id="80"/>
    </w:p>
    <w:p>
      <w:pPr>
        <w:pStyle w:val="4"/>
        <w:rPr>
          <w:szCs w:val="21"/>
        </w:rPr>
      </w:pPr>
      <w:bookmarkStart w:id="81" w:name="_Toc6408"/>
      <w:r>
        <w:rPr>
          <w:rFonts w:hint="eastAsia"/>
          <w:szCs w:val="21"/>
        </w:rPr>
        <w:t>工况</w:t>
      </w:r>
      <w:r>
        <w:rPr>
          <w:szCs w:val="21"/>
        </w:rPr>
        <w:t>表</w:t>
      </w:r>
      <w:bookmarkEnd w:id="81"/>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4.20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NNW</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112.5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3.40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SW</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225.0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3.40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SW</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225.0</w:t>
            </w:r>
          </w:p>
        </w:tc>
      </w:tr>
      <w:bookmarkEnd w:id="82"/>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3"/>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83" w:name="_Toc509844750"/>
      <w:bookmarkStart w:id="84" w:name="_Toc29610"/>
      <w:r>
        <w:rPr>
          <w:rFonts w:hint="eastAsia"/>
        </w:rPr>
        <w:t>冬季工况</w:t>
      </w:r>
      <w:bookmarkEnd w:id="83"/>
      <w:bookmarkEnd w:id="84"/>
    </w:p>
    <w:p>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4.20</w:t>
      </w:r>
      <w:bookmarkEnd w:id="85"/>
      <w:r>
        <w:rPr>
          <w:rFonts w:ascii="Calibri" w:hAnsi="Calibri"/>
          <w:szCs w:val="21"/>
        </w:rPr>
        <w:t>m/s</w:t>
      </w:r>
      <w:r>
        <w:rPr>
          <w:rFonts w:hint="eastAsia" w:ascii="Calibri" w:hAnsi="Calibri"/>
          <w:szCs w:val="21"/>
        </w:rPr>
        <w:t>，风向为</w:t>
      </w:r>
      <w:bookmarkStart w:id="86" w:name="冬季入口边界风向"/>
      <w:r>
        <w:rPr>
          <w:szCs w:val="21"/>
        </w:rPr>
        <w:t>NNW</w:t>
      </w:r>
      <w:bookmarkEnd w:id="86"/>
      <w:r>
        <w:rPr>
          <w:rFonts w:hint="eastAsia"/>
          <w:szCs w:val="21"/>
        </w:rPr>
        <w:t>。</w:t>
      </w:r>
    </w:p>
    <w:p>
      <w:pPr>
        <w:pStyle w:val="5"/>
      </w:pPr>
      <w:bookmarkStart w:id="87" w:name="_Toc509844751"/>
      <w:bookmarkStart w:id="88" w:name="_Toc9298"/>
      <w:r>
        <w:rPr>
          <w:rFonts w:hint="eastAsia"/>
        </w:rPr>
        <w:t>风速达标分析</w:t>
      </w:r>
      <w:bookmarkEnd w:id="87"/>
      <w:bookmarkEnd w:id="88"/>
      <w:r>
        <w:rPr>
          <w:rFonts w:hint="eastAsia"/>
        </w:rPr>
        <w:t xml:space="preserve"> </w:t>
      </w:r>
    </w:p>
    <w:p>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pPr>
        <w:pStyle w:val="3"/>
        <w:ind w:firstLine="420"/>
        <w:rPr>
          <w:lang w:val="en-US"/>
        </w:rPr>
      </w:pPr>
      <w:r>
        <w:rPr>
          <w:rFonts w:hint="eastAsia"/>
          <w:lang w:val="en-US"/>
        </w:rPr>
        <w:t>分析下列图数据，</w:t>
      </w:r>
      <w:bookmarkStart w:id="89" w:name="冬季工况人行区风速分析结论"/>
      <w:bookmarkEnd w:id="89"/>
      <w:r>
        <w:rPr>
          <w:lang w:val="en-US"/>
        </w:rPr>
        <w:t>未标示出超标区域，可知人行区域风速为最大值为2.89m/s，小于5m/s，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90" w:name="冬季工况人行区风速云图"/>
      <w:bookmarkEnd w:id="90"/>
      <w:r>
        <w:drawing>
          <wp:inline distT="0" distB="0" distL="0" distR="0">
            <wp:extent cx="5667375" cy="37052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37052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pPr>
        <w:pStyle w:val="3"/>
        <w:ind w:firstLine="420"/>
        <w:rPr>
          <w:lang w:val="en-US"/>
        </w:rPr>
      </w:pPr>
    </w:p>
    <w:p>
      <w:pPr>
        <w:pStyle w:val="5"/>
      </w:pPr>
      <w:bookmarkStart w:id="91" w:name="_Toc509844752"/>
      <w:bookmarkStart w:id="92" w:name="_Toc2211"/>
      <w:r>
        <w:rPr>
          <w:rFonts w:hint="eastAsia"/>
        </w:rPr>
        <w:t>风速放大系数达标分析</w:t>
      </w:r>
      <w:bookmarkEnd w:id="91"/>
      <w:bookmarkEnd w:id="92"/>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93" w:name="冬季工况人行区风速放大系数分析结论"/>
      <w:bookmarkEnd w:id="93"/>
      <w:r>
        <w:rPr>
          <w:lang w:val="en-US"/>
        </w:rPr>
        <w:t>图中未标示出风速放大系数超标区域，因此可知人行区域风速放大系数最大值为1.17，小于2，</w:t>
      </w:r>
      <w:r>
        <w:rPr>
          <w:color w:val="0000FF"/>
          <w:lang w:val="en-US"/>
        </w:rPr>
        <w:t>满足</w:t>
      </w:r>
      <w:r>
        <w:rPr>
          <w:lang w:val="en-US"/>
        </w:rPr>
        <w:t>绿标要求。</w:t>
      </w:r>
    </w:p>
    <w:p>
      <w:pPr>
        <w:jc w:val="center"/>
      </w:pPr>
      <w:bookmarkStart w:id="94" w:name="冬季工况人行区风速放大系数云图"/>
      <w:bookmarkEnd w:id="94"/>
      <w:r>
        <w:drawing>
          <wp:inline distT="0" distB="0" distL="0" distR="0">
            <wp:extent cx="5667375" cy="37052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70522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pPr>
        <w:pStyle w:val="3"/>
        <w:ind w:firstLine="420"/>
        <w:rPr>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pPr>
        <w:ind w:firstLine="420" w:firstLineChars="200"/>
        <w:rPr>
          <w:rFonts w:hint="eastAsia" w:ascii="黑体" w:hAnsi="黑体" w:eastAsia="黑体"/>
          <w:lang w:val="en-US"/>
        </w:rPr>
      </w:pPr>
      <w:r>
        <w:rPr>
          <w:rFonts w:hint="eastAsia" w:ascii="黑体" w:hAnsi="黑体" w:eastAsia="黑体"/>
          <w:lang w:val="en-US"/>
        </w:rPr>
        <w:t>2）通常将1.5米作为一般人群的参考行走高度，也可酌情调整人行走高度。</w:t>
      </w:r>
      <w:bookmarkStart w:id="95" w:name="_Toc509844756"/>
      <w:bookmarkEnd w:id="95"/>
      <w:bookmarkStart w:id="96" w:name="_Toc509844757"/>
      <w:bookmarkEnd w:id="96"/>
      <w:bookmarkStart w:id="97" w:name="_Toc509844755"/>
      <w:bookmarkEnd w:id="97"/>
      <w:bookmarkStart w:id="98" w:name="_Toc509844754"/>
      <w:bookmarkEnd w:id="98"/>
    </w:p>
    <w:p>
      <w:pPr>
        <w:pStyle w:val="3"/>
        <w:ind w:firstLine="420"/>
        <w:rPr>
          <w:lang w:val="en-US"/>
        </w:rPr>
      </w:pPr>
    </w:p>
    <w:p>
      <w:pPr>
        <w:pStyle w:val="5"/>
      </w:pPr>
      <w:bookmarkStart w:id="99" w:name="_Toc509844753"/>
      <w:bookmarkStart w:id="100" w:name="_Toc4357"/>
      <w:r>
        <w:rPr>
          <w:rFonts w:hint="eastAsia"/>
        </w:rPr>
        <w:t>冬季工况风速/风速放大系数达标</w:t>
      </w:r>
      <w:bookmarkEnd w:id="99"/>
      <w:r>
        <w:rPr>
          <w:rFonts w:hint="eastAsia"/>
        </w:rPr>
        <w:t>结果汇总</w:t>
      </w:r>
      <w:bookmarkEnd w:id="100"/>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1" w:name="冬季工况风速是否有超限区域"/>
            <w:r>
              <w:rPr>
                <w:rFonts w:hint="eastAsia" w:ascii="宋体" w:hAnsi="宋体" w:cs="宋体"/>
                <w:color w:val="000000"/>
                <w:sz w:val="22"/>
                <w:szCs w:val="22"/>
                <w:lang w:val="en-US"/>
              </w:rPr>
              <w:t>否</w:t>
            </w:r>
            <w:bookmarkEnd w:id="101"/>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2" w:name="冬季工况风速达标判断"/>
            <w:r>
              <w:rPr>
                <w:rFonts w:hint="eastAsia" w:ascii="宋体" w:hAnsi="宋体" w:cs="宋体"/>
                <w:color w:val="000000"/>
                <w:sz w:val="22"/>
                <w:szCs w:val="22"/>
                <w:lang w:val="en-US"/>
              </w:rPr>
              <w:t>是</w:t>
            </w:r>
            <w:bookmarkEnd w:id="102"/>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3" w:name="冬季工况风速放大系数是否有超限区域"/>
            <w:r>
              <w:rPr>
                <w:rFonts w:hint="eastAsia" w:ascii="宋体" w:hAnsi="宋体" w:cs="宋体"/>
                <w:color w:val="000000"/>
                <w:sz w:val="22"/>
                <w:szCs w:val="22"/>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4" w:name="冬季工况风速放大系数达标判断"/>
            <w:r>
              <w:rPr>
                <w:rFonts w:hint="eastAsia" w:ascii="宋体" w:hAnsi="宋体" w:cs="宋体"/>
                <w:color w:val="000000"/>
                <w:sz w:val="22"/>
                <w:szCs w:val="22"/>
                <w:lang w:val="en-US"/>
              </w:rPr>
              <w:t>是</w:t>
            </w:r>
            <w:bookmarkEnd w:id="104"/>
          </w:p>
        </w:tc>
      </w:tr>
    </w:tbl>
    <w:p/>
    <w:p>
      <w:pPr>
        <w:pStyle w:val="5"/>
      </w:pPr>
      <w:bookmarkStart w:id="105" w:name="_Toc20299"/>
      <w:r>
        <w:rPr>
          <w:rFonts w:hint="eastAsia"/>
        </w:rPr>
        <w:t>建筑迎风面和背风面风压分析</w:t>
      </w:r>
      <w:bookmarkEnd w:id="13"/>
      <w:bookmarkEnd w:id="105"/>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06" w:name="冬季工况建筑迎风面风压云图"/>
      <w:bookmarkEnd w:id="106"/>
      <w:r>
        <w:drawing>
          <wp:inline distT="0" distB="0" distL="0" distR="0">
            <wp:extent cx="5667375" cy="3667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07" w:name="冬季工况建筑背风面风压云图"/>
      <w:bookmarkEnd w:id="107"/>
      <w:r>
        <w:drawing>
          <wp:inline distT="0" distB="0" distL="0" distR="0">
            <wp:extent cx="5667375" cy="3676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6766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108" w:name="建筑迎风面和背风面风压差计算结果"/>
      <w:r>
        <w:rPr>
          <w:rFonts w:hint="eastAsia"/>
        </w:rPr>
        <w:t>建筑迎风面和背风面风压差计算结果</w:t>
      </w:r>
    </w:p>
    <w:p>
      <w:pPr>
        <w:jc w:val="center"/>
        <w:rPr>
          <w:rFonts w:ascii="Cambria" w:hAnsi="Cambria" w:eastAsia="黑体"/>
          <w:sz w:val="20"/>
        </w:rPr>
      </w:pPr>
      <w:bookmarkStart w:id="109"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0" w:name="建筑迎背风面风压差表_建筑名"/>
      <w:r>
        <w:rPr>
          <w:rFonts w:ascii="Cambria" w:hAnsi="Cambria" w:eastAsia="黑体"/>
          <w:sz w:val="20"/>
        </w:rPr>
        <w:t>单体</w:t>
      </w:r>
      <w:bookmarkEnd w:id="110"/>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-1.94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-1.52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-1.67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-1.25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-1.43</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-1.62</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0.19</w:t>
            </w:r>
          </w:p>
        </w:tc>
      </w:tr>
      <w:bookmarkEnd w:id="109"/>
    </w:tbl>
    <w:p>
      <w:bookmarkStart w:id="111" w:name="结论"/>
      <w:bookmarkEnd w:id="111"/>
      <w:r>
        <w:t>标准要求：迎背风面窗平均风压差（绝对值）≤5Pa。结论：该楼</w:t>
      </w:r>
      <w:r>
        <w:rPr>
          <w:b/>
          <w:color w:val="0000FF"/>
        </w:rPr>
        <w:t>达标</w:t>
      </w:r>
      <w:r>
        <w:t>。</w:t>
      </w:r>
    </w:p>
    <w:bookmarkEnd w:id="108"/>
    <w:p>
      <w:pPr>
        <w:jc w:val="center"/>
        <w:rPr>
          <w:rFonts w:ascii="Cambria" w:hAnsi="Cambria" w:eastAsia="黑体"/>
          <w:sz w:val="20"/>
        </w:rPr>
      </w:pPr>
      <w:bookmarkStart w:id="112" w:name="建筑迎背风面风压差表_新增"/>
      <w:bookmarkEnd w:id="112"/>
    </w:p>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13"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w:t>
            </w:r>
          </w:p>
        </w:tc>
        <w:tc>
          <w:tcPr>
            <w:tcW w:w="1276" w:type="dxa"/>
            <w:shd w:val="clear" w:color="auto" w:fill="auto"/>
            <w:vAlign w:val="center"/>
          </w:tcPr>
          <w:p>
            <w:pPr>
              <w:jc w:val="center"/>
              <w:rPr>
                <w:lang w:val="en-US"/>
              </w:rPr>
            </w:pPr>
            <w:r>
              <w:rPr>
                <w:lang w:val="en-US"/>
              </w:rPr>
              <w:t>-1.47</w:t>
            </w:r>
          </w:p>
        </w:tc>
        <w:tc>
          <w:tcPr>
            <w:tcW w:w="1276" w:type="dxa"/>
            <w:shd w:val="clear" w:color="auto" w:fill="auto"/>
            <w:vAlign w:val="center"/>
          </w:tcPr>
          <w:p>
            <w:pPr>
              <w:jc w:val="center"/>
              <w:rPr>
                <w:lang w:val="en-US"/>
              </w:rPr>
            </w:pPr>
            <w:r>
              <w:rPr>
                <w:lang w:val="en-US"/>
              </w:rPr>
              <w:t>-1.59</w:t>
            </w:r>
          </w:p>
        </w:tc>
        <w:tc>
          <w:tcPr>
            <w:tcW w:w="1701" w:type="dxa"/>
            <w:shd w:val="clear" w:color="auto" w:fill="auto"/>
            <w:vAlign w:val="center"/>
          </w:tcPr>
          <w:p>
            <w:pPr>
              <w:jc w:val="center"/>
              <w:rPr>
                <w:lang w:val="en-US"/>
              </w:rPr>
            </w:pPr>
            <w:r>
              <w:rPr>
                <w:lang w:val="en-US"/>
              </w:rPr>
              <w:t>0.12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1001</w:t>
            </w:r>
          </w:p>
        </w:tc>
        <w:tc>
          <w:tcPr>
            <w:tcW w:w="1276" w:type="dxa"/>
            <w:shd w:val="clear" w:color="auto" w:fill="auto"/>
            <w:vAlign w:val="center"/>
          </w:tcPr>
          <w:p>
            <w:pPr>
              <w:jc w:val="center"/>
              <w:rPr>
                <w:lang w:val="en-US"/>
              </w:rPr>
            </w:pPr>
            <w:r>
              <w:rPr>
                <w:lang w:val="en-US"/>
              </w:rPr>
              <w:t>0.76</w:t>
            </w:r>
          </w:p>
        </w:tc>
        <w:tc>
          <w:tcPr>
            <w:tcW w:w="1276" w:type="dxa"/>
            <w:shd w:val="clear" w:color="auto" w:fill="auto"/>
            <w:vAlign w:val="center"/>
          </w:tcPr>
          <w:p>
            <w:pPr>
              <w:jc w:val="center"/>
              <w:rPr>
                <w:lang w:val="en-US"/>
              </w:rPr>
            </w:pPr>
            <w:r>
              <w:rPr>
                <w:lang w:val="en-US"/>
              </w:rPr>
              <w:t>1.04</w:t>
            </w:r>
          </w:p>
        </w:tc>
        <w:tc>
          <w:tcPr>
            <w:tcW w:w="1701" w:type="dxa"/>
            <w:shd w:val="clear" w:color="auto" w:fill="auto"/>
            <w:vAlign w:val="center"/>
          </w:tcPr>
          <w:p>
            <w:pPr>
              <w:jc w:val="center"/>
              <w:rPr>
                <w:lang w:val="en-US"/>
              </w:rPr>
            </w:pPr>
            <w:r>
              <w:rPr>
                <w:lang w:val="en-US"/>
              </w:rPr>
              <w:t>-0.27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1002</w:t>
            </w:r>
          </w:p>
        </w:tc>
        <w:tc>
          <w:tcPr>
            <w:tcW w:w="1276" w:type="dxa"/>
            <w:shd w:val="clear" w:color="auto" w:fill="auto"/>
            <w:vAlign w:val="center"/>
          </w:tcPr>
          <w:p>
            <w:pPr>
              <w:jc w:val="center"/>
              <w:rPr>
                <w:lang w:val="en-US"/>
              </w:rPr>
            </w:pPr>
            <w:r>
              <w:rPr>
                <w:lang w:val="en-US"/>
              </w:rPr>
              <w:t>0.05</w:t>
            </w:r>
          </w:p>
        </w:tc>
        <w:tc>
          <w:tcPr>
            <w:tcW w:w="1276" w:type="dxa"/>
            <w:shd w:val="clear" w:color="auto" w:fill="auto"/>
            <w:vAlign w:val="center"/>
          </w:tcPr>
          <w:p>
            <w:pPr>
              <w:jc w:val="center"/>
              <w:rPr>
                <w:lang w:val="en-US"/>
              </w:rPr>
            </w:pPr>
            <w:r>
              <w:rPr>
                <w:lang w:val="en-US"/>
              </w:rPr>
              <w:t>-0.52</w:t>
            </w:r>
          </w:p>
        </w:tc>
        <w:tc>
          <w:tcPr>
            <w:tcW w:w="1701" w:type="dxa"/>
            <w:shd w:val="clear" w:color="auto" w:fill="auto"/>
            <w:vAlign w:val="center"/>
          </w:tcPr>
          <w:p>
            <w:pPr>
              <w:jc w:val="center"/>
              <w:rPr>
                <w:lang w:val="en-US"/>
              </w:rPr>
            </w:pPr>
            <w:r>
              <w:rPr>
                <w:lang w:val="en-US"/>
              </w:rPr>
              <w:t>0.57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1003</w:t>
            </w:r>
          </w:p>
        </w:tc>
        <w:tc>
          <w:tcPr>
            <w:tcW w:w="1276" w:type="dxa"/>
            <w:shd w:val="clear" w:color="auto" w:fill="auto"/>
            <w:vAlign w:val="center"/>
          </w:tcPr>
          <w:p>
            <w:pPr>
              <w:jc w:val="center"/>
              <w:rPr>
                <w:lang w:val="en-US"/>
              </w:rPr>
            </w:pPr>
            <w:r>
              <w:rPr>
                <w:lang w:val="en-US"/>
              </w:rPr>
              <w:t>0.52</w:t>
            </w:r>
          </w:p>
        </w:tc>
        <w:tc>
          <w:tcPr>
            <w:tcW w:w="1276" w:type="dxa"/>
            <w:shd w:val="clear" w:color="auto" w:fill="auto"/>
            <w:vAlign w:val="center"/>
          </w:tcPr>
          <w:p>
            <w:pPr>
              <w:jc w:val="center"/>
              <w:rPr>
                <w:lang w:val="en-US"/>
              </w:rPr>
            </w:pPr>
            <w:r>
              <w:rPr>
                <w:lang w:val="en-US"/>
              </w:rPr>
              <w:t>-2.09</w:t>
            </w:r>
          </w:p>
        </w:tc>
        <w:tc>
          <w:tcPr>
            <w:tcW w:w="1701" w:type="dxa"/>
            <w:shd w:val="clear" w:color="auto" w:fill="auto"/>
            <w:vAlign w:val="center"/>
          </w:tcPr>
          <w:p>
            <w:pPr>
              <w:jc w:val="center"/>
              <w:rPr>
                <w:lang w:val="en-US"/>
              </w:rPr>
            </w:pPr>
            <w:r>
              <w:rPr>
                <w:lang w:val="en-US"/>
              </w:rPr>
              <w:t>2.62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1004</w:t>
            </w:r>
          </w:p>
        </w:tc>
        <w:tc>
          <w:tcPr>
            <w:tcW w:w="1276" w:type="dxa"/>
            <w:shd w:val="clear" w:color="auto" w:fill="auto"/>
            <w:vAlign w:val="center"/>
          </w:tcPr>
          <w:p>
            <w:pPr>
              <w:jc w:val="center"/>
              <w:rPr>
                <w:lang w:val="en-US"/>
              </w:rPr>
            </w:pPr>
            <w:r>
              <w:rPr>
                <w:lang w:val="en-US"/>
              </w:rPr>
              <w:t>-0.96</w:t>
            </w:r>
          </w:p>
        </w:tc>
        <w:tc>
          <w:tcPr>
            <w:tcW w:w="1276" w:type="dxa"/>
            <w:shd w:val="clear" w:color="auto" w:fill="auto"/>
            <w:vAlign w:val="center"/>
          </w:tcPr>
          <w:p>
            <w:pPr>
              <w:jc w:val="center"/>
              <w:rPr>
                <w:lang w:val="en-US"/>
              </w:rPr>
            </w:pPr>
            <w:r>
              <w:rPr>
                <w:lang w:val="en-US"/>
              </w:rPr>
              <w:t>-1.44</w:t>
            </w:r>
          </w:p>
        </w:tc>
        <w:tc>
          <w:tcPr>
            <w:tcW w:w="1701" w:type="dxa"/>
            <w:shd w:val="clear" w:color="auto" w:fill="auto"/>
            <w:vAlign w:val="center"/>
          </w:tcPr>
          <w:p>
            <w:pPr>
              <w:jc w:val="center"/>
              <w:rPr>
                <w:lang w:val="en-US"/>
              </w:rPr>
            </w:pPr>
            <w:r>
              <w:rPr>
                <w:lang w:val="en-US"/>
              </w:rPr>
              <w:t>0.49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1005</w:t>
            </w:r>
          </w:p>
        </w:tc>
        <w:tc>
          <w:tcPr>
            <w:tcW w:w="1276" w:type="dxa"/>
            <w:shd w:val="clear" w:color="auto" w:fill="auto"/>
            <w:vAlign w:val="center"/>
          </w:tcPr>
          <w:p>
            <w:pPr>
              <w:jc w:val="center"/>
              <w:rPr>
                <w:lang w:val="en-US"/>
              </w:rPr>
            </w:pPr>
            <w:r>
              <w:rPr>
                <w:lang w:val="en-US"/>
              </w:rPr>
              <w:t>0.83</w:t>
            </w:r>
          </w:p>
        </w:tc>
        <w:tc>
          <w:tcPr>
            <w:tcW w:w="1276" w:type="dxa"/>
            <w:shd w:val="clear" w:color="auto" w:fill="auto"/>
            <w:vAlign w:val="center"/>
          </w:tcPr>
          <w:p>
            <w:pPr>
              <w:jc w:val="center"/>
              <w:rPr>
                <w:lang w:val="en-US"/>
              </w:rPr>
            </w:pPr>
            <w:r>
              <w:rPr>
                <w:lang w:val="en-US"/>
              </w:rPr>
              <w:t>-2.03</w:t>
            </w:r>
          </w:p>
        </w:tc>
        <w:tc>
          <w:tcPr>
            <w:tcW w:w="1701" w:type="dxa"/>
            <w:shd w:val="clear" w:color="auto" w:fill="auto"/>
            <w:vAlign w:val="center"/>
          </w:tcPr>
          <w:p>
            <w:pPr>
              <w:jc w:val="center"/>
              <w:rPr>
                <w:lang w:val="en-US"/>
              </w:rPr>
            </w:pPr>
            <w:r>
              <w:rPr>
                <w:lang w:val="en-US"/>
              </w:rPr>
              <w:t>2.87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1006</w:t>
            </w:r>
          </w:p>
        </w:tc>
        <w:tc>
          <w:tcPr>
            <w:tcW w:w="1276" w:type="dxa"/>
            <w:shd w:val="clear" w:color="auto" w:fill="auto"/>
            <w:vAlign w:val="center"/>
          </w:tcPr>
          <w:p>
            <w:pPr>
              <w:jc w:val="center"/>
              <w:rPr>
                <w:lang w:val="en-US"/>
              </w:rPr>
            </w:pPr>
            <w:r>
              <w:rPr>
                <w:lang w:val="en-US"/>
              </w:rPr>
              <w:t>0.39</w:t>
            </w:r>
          </w:p>
        </w:tc>
        <w:tc>
          <w:tcPr>
            <w:tcW w:w="1276" w:type="dxa"/>
            <w:shd w:val="clear" w:color="auto" w:fill="auto"/>
            <w:vAlign w:val="center"/>
          </w:tcPr>
          <w:p>
            <w:pPr>
              <w:jc w:val="center"/>
              <w:rPr>
                <w:lang w:val="en-US"/>
              </w:rPr>
            </w:pPr>
            <w:r>
              <w:rPr>
                <w:lang w:val="en-US"/>
              </w:rPr>
              <w:t>-0.38</w:t>
            </w:r>
          </w:p>
        </w:tc>
        <w:tc>
          <w:tcPr>
            <w:tcW w:w="1701" w:type="dxa"/>
            <w:shd w:val="clear" w:color="auto" w:fill="auto"/>
            <w:vAlign w:val="center"/>
          </w:tcPr>
          <w:p>
            <w:pPr>
              <w:jc w:val="center"/>
              <w:rPr>
                <w:lang w:val="en-US"/>
              </w:rPr>
            </w:pPr>
            <w:r>
              <w:rPr>
                <w:lang w:val="en-US"/>
              </w:rPr>
              <w:t>0.77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1007</w:t>
            </w:r>
          </w:p>
        </w:tc>
        <w:tc>
          <w:tcPr>
            <w:tcW w:w="1276" w:type="dxa"/>
            <w:shd w:val="clear" w:color="auto" w:fill="auto"/>
            <w:vAlign w:val="center"/>
          </w:tcPr>
          <w:p>
            <w:pPr>
              <w:jc w:val="center"/>
              <w:rPr>
                <w:lang w:val="en-US"/>
              </w:rPr>
            </w:pPr>
            <w:r>
              <w:rPr>
                <w:lang w:val="en-US"/>
              </w:rPr>
              <w:t>-1.03</w:t>
            </w:r>
          </w:p>
        </w:tc>
        <w:tc>
          <w:tcPr>
            <w:tcW w:w="1276" w:type="dxa"/>
            <w:shd w:val="clear" w:color="auto" w:fill="auto"/>
            <w:vAlign w:val="center"/>
          </w:tcPr>
          <w:p>
            <w:pPr>
              <w:jc w:val="center"/>
              <w:rPr>
                <w:lang w:val="en-US"/>
              </w:rPr>
            </w:pPr>
            <w:r>
              <w:rPr>
                <w:lang w:val="en-US"/>
              </w:rPr>
              <w:t>-0.67</w:t>
            </w:r>
          </w:p>
        </w:tc>
        <w:tc>
          <w:tcPr>
            <w:tcW w:w="1701" w:type="dxa"/>
            <w:shd w:val="clear" w:color="auto" w:fill="auto"/>
            <w:vAlign w:val="center"/>
          </w:tcPr>
          <w:p>
            <w:pPr>
              <w:jc w:val="center"/>
              <w:rPr>
                <w:lang w:val="en-US"/>
              </w:rPr>
            </w:pPr>
            <w:r>
              <w:rPr>
                <w:lang w:val="en-US"/>
              </w:rPr>
              <w:t>-0.36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1008</w:t>
            </w:r>
          </w:p>
        </w:tc>
        <w:tc>
          <w:tcPr>
            <w:tcW w:w="1276" w:type="dxa"/>
            <w:shd w:val="clear" w:color="auto" w:fill="auto"/>
            <w:vAlign w:val="center"/>
          </w:tcPr>
          <w:p>
            <w:pPr>
              <w:jc w:val="center"/>
              <w:rPr>
                <w:lang w:val="en-US"/>
              </w:rPr>
            </w:pPr>
            <w:r>
              <w:rPr>
                <w:lang w:val="en-US"/>
              </w:rPr>
              <w:t>-1.47</w:t>
            </w:r>
          </w:p>
        </w:tc>
        <w:tc>
          <w:tcPr>
            <w:tcW w:w="1276" w:type="dxa"/>
            <w:shd w:val="clear" w:color="auto" w:fill="auto"/>
            <w:vAlign w:val="center"/>
          </w:tcPr>
          <w:p>
            <w:pPr>
              <w:jc w:val="center"/>
              <w:rPr>
                <w:lang w:val="en-US"/>
              </w:rPr>
            </w:pPr>
            <w:r>
              <w:rPr>
                <w:lang w:val="en-US"/>
              </w:rPr>
              <w:t>-2.01</w:t>
            </w:r>
          </w:p>
        </w:tc>
        <w:tc>
          <w:tcPr>
            <w:tcW w:w="1701" w:type="dxa"/>
            <w:shd w:val="clear" w:color="auto" w:fill="auto"/>
            <w:vAlign w:val="center"/>
          </w:tcPr>
          <w:p>
            <w:pPr>
              <w:jc w:val="center"/>
              <w:rPr>
                <w:lang w:val="en-US"/>
              </w:rPr>
            </w:pPr>
            <w:r>
              <w:rPr>
                <w:lang w:val="en-US"/>
              </w:rPr>
              <w:t>0.53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1009</w:t>
            </w:r>
          </w:p>
        </w:tc>
        <w:tc>
          <w:tcPr>
            <w:tcW w:w="1276" w:type="dxa"/>
            <w:shd w:val="clear" w:color="auto" w:fill="auto"/>
            <w:vAlign w:val="center"/>
          </w:tcPr>
          <w:p>
            <w:pPr>
              <w:jc w:val="center"/>
              <w:rPr>
                <w:lang w:val="en-US"/>
              </w:rPr>
            </w:pPr>
            <w:r>
              <w:rPr>
                <w:lang w:val="en-US"/>
              </w:rPr>
              <w:t>-1.08</w:t>
            </w:r>
          </w:p>
        </w:tc>
        <w:tc>
          <w:tcPr>
            <w:tcW w:w="1276" w:type="dxa"/>
            <w:shd w:val="clear" w:color="auto" w:fill="auto"/>
            <w:vAlign w:val="center"/>
          </w:tcPr>
          <w:p>
            <w:pPr>
              <w:jc w:val="center"/>
              <w:rPr>
                <w:lang w:val="en-US"/>
              </w:rPr>
            </w:pPr>
            <w:r>
              <w:rPr>
                <w:lang w:val="en-US"/>
              </w:rPr>
              <w:t>-1.54</w:t>
            </w:r>
          </w:p>
        </w:tc>
        <w:tc>
          <w:tcPr>
            <w:tcW w:w="1701" w:type="dxa"/>
            <w:shd w:val="clear" w:color="auto" w:fill="auto"/>
            <w:vAlign w:val="center"/>
          </w:tcPr>
          <w:p>
            <w:pPr>
              <w:jc w:val="center"/>
              <w:rPr>
                <w:lang w:val="en-US"/>
              </w:rPr>
            </w:pPr>
            <w:r>
              <w:rPr>
                <w:lang w:val="en-US"/>
              </w:rPr>
              <w:t>0.45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1010</w:t>
            </w:r>
          </w:p>
        </w:tc>
        <w:tc>
          <w:tcPr>
            <w:tcW w:w="1276" w:type="dxa"/>
            <w:shd w:val="clear" w:color="auto" w:fill="auto"/>
            <w:vAlign w:val="center"/>
          </w:tcPr>
          <w:p>
            <w:pPr>
              <w:jc w:val="center"/>
              <w:rPr>
                <w:lang w:val="en-US"/>
              </w:rPr>
            </w:pPr>
            <w:r>
              <w:rPr>
                <w:lang w:val="en-US"/>
              </w:rPr>
              <w:t>-1.11</w:t>
            </w:r>
          </w:p>
        </w:tc>
        <w:tc>
          <w:tcPr>
            <w:tcW w:w="1276" w:type="dxa"/>
            <w:shd w:val="clear" w:color="auto" w:fill="auto"/>
            <w:vAlign w:val="center"/>
          </w:tcPr>
          <w:p>
            <w:pPr>
              <w:jc w:val="center"/>
              <w:rPr>
                <w:lang w:val="en-US"/>
              </w:rPr>
            </w:pPr>
            <w:r>
              <w:rPr>
                <w:lang w:val="en-US"/>
              </w:rPr>
              <w:t>-0.99</w:t>
            </w:r>
          </w:p>
        </w:tc>
        <w:tc>
          <w:tcPr>
            <w:tcW w:w="1701" w:type="dxa"/>
            <w:shd w:val="clear" w:color="auto" w:fill="auto"/>
            <w:vAlign w:val="center"/>
          </w:tcPr>
          <w:p>
            <w:pPr>
              <w:jc w:val="center"/>
              <w:rPr>
                <w:lang w:val="en-US"/>
              </w:rPr>
            </w:pPr>
            <w:r>
              <w:rPr>
                <w:lang w:val="en-US"/>
              </w:rPr>
              <w:t>-0.12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1011</w:t>
            </w:r>
          </w:p>
        </w:tc>
        <w:tc>
          <w:tcPr>
            <w:tcW w:w="1276" w:type="dxa"/>
            <w:shd w:val="clear" w:color="auto" w:fill="auto"/>
            <w:vAlign w:val="center"/>
          </w:tcPr>
          <w:p>
            <w:pPr>
              <w:jc w:val="center"/>
              <w:rPr>
                <w:lang w:val="en-US"/>
              </w:rPr>
            </w:pPr>
            <w:r>
              <w:rPr>
                <w:lang w:val="en-US"/>
              </w:rPr>
              <w:t>-0.35</w:t>
            </w:r>
          </w:p>
        </w:tc>
        <w:tc>
          <w:tcPr>
            <w:tcW w:w="1276" w:type="dxa"/>
            <w:shd w:val="clear" w:color="auto" w:fill="auto"/>
            <w:vAlign w:val="center"/>
          </w:tcPr>
          <w:p>
            <w:pPr>
              <w:jc w:val="center"/>
              <w:rPr>
                <w:lang w:val="en-US"/>
              </w:rPr>
            </w:pPr>
            <w:r>
              <w:rPr>
                <w:lang w:val="en-US"/>
              </w:rPr>
              <w:t>0.05</w:t>
            </w:r>
          </w:p>
        </w:tc>
        <w:tc>
          <w:tcPr>
            <w:tcW w:w="1701" w:type="dxa"/>
            <w:shd w:val="clear" w:color="auto" w:fill="auto"/>
            <w:vAlign w:val="center"/>
          </w:tcPr>
          <w:p>
            <w:pPr>
              <w:jc w:val="center"/>
              <w:rPr>
                <w:lang w:val="en-US"/>
              </w:rPr>
            </w:pPr>
            <w:r>
              <w:rPr>
                <w:lang w:val="en-US"/>
              </w:rPr>
              <w:t>-0.40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1013</w:t>
            </w:r>
          </w:p>
        </w:tc>
        <w:tc>
          <w:tcPr>
            <w:tcW w:w="1276" w:type="dxa"/>
            <w:shd w:val="clear" w:color="auto" w:fill="auto"/>
            <w:vAlign w:val="center"/>
          </w:tcPr>
          <w:p>
            <w:pPr>
              <w:jc w:val="center"/>
              <w:rPr>
                <w:lang w:val="en-US"/>
              </w:rPr>
            </w:pPr>
            <w:r>
              <w:rPr>
                <w:lang w:val="en-US"/>
              </w:rPr>
              <w:t>-0.19</w:t>
            </w:r>
          </w:p>
        </w:tc>
        <w:tc>
          <w:tcPr>
            <w:tcW w:w="1276" w:type="dxa"/>
            <w:shd w:val="clear" w:color="auto" w:fill="auto"/>
            <w:vAlign w:val="center"/>
          </w:tcPr>
          <w:p>
            <w:pPr>
              <w:jc w:val="center"/>
              <w:rPr>
                <w:lang w:val="en-US"/>
              </w:rPr>
            </w:pPr>
            <w:r>
              <w:rPr>
                <w:lang w:val="en-US"/>
              </w:rPr>
              <w:t>-1.41</w:t>
            </w:r>
          </w:p>
        </w:tc>
        <w:tc>
          <w:tcPr>
            <w:tcW w:w="1701" w:type="dxa"/>
            <w:shd w:val="clear" w:color="auto" w:fill="auto"/>
            <w:vAlign w:val="center"/>
          </w:tcPr>
          <w:p>
            <w:pPr>
              <w:jc w:val="center"/>
              <w:rPr>
                <w:lang w:val="en-US"/>
              </w:rPr>
            </w:pPr>
            <w:r>
              <w:rPr>
                <w:lang w:val="en-US"/>
              </w:rPr>
              <w:t>1.22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1014</w:t>
            </w:r>
          </w:p>
        </w:tc>
        <w:tc>
          <w:tcPr>
            <w:tcW w:w="1276" w:type="dxa"/>
            <w:shd w:val="clear" w:color="auto" w:fill="auto"/>
            <w:vAlign w:val="center"/>
          </w:tcPr>
          <w:p>
            <w:pPr>
              <w:jc w:val="center"/>
              <w:rPr>
                <w:lang w:val="en-US"/>
              </w:rPr>
            </w:pPr>
            <w:r>
              <w:rPr>
                <w:lang w:val="en-US"/>
              </w:rPr>
              <w:t>-0.59</w:t>
            </w:r>
          </w:p>
        </w:tc>
        <w:tc>
          <w:tcPr>
            <w:tcW w:w="1276" w:type="dxa"/>
            <w:shd w:val="clear" w:color="auto" w:fill="auto"/>
            <w:vAlign w:val="center"/>
          </w:tcPr>
          <w:p>
            <w:pPr>
              <w:jc w:val="center"/>
              <w:rPr>
                <w:lang w:val="en-US"/>
              </w:rPr>
            </w:pPr>
            <w:r>
              <w:rPr>
                <w:lang w:val="en-US"/>
              </w:rPr>
              <w:t>-0.95</w:t>
            </w:r>
          </w:p>
        </w:tc>
        <w:tc>
          <w:tcPr>
            <w:tcW w:w="1701" w:type="dxa"/>
            <w:shd w:val="clear" w:color="auto" w:fill="auto"/>
            <w:vAlign w:val="center"/>
          </w:tcPr>
          <w:p>
            <w:pPr>
              <w:jc w:val="center"/>
              <w:rPr>
                <w:lang w:val="en-US"/>
              </w:rPr>
            </w:pPr>
            <w:r>
              <w:rPr>
                <w:lang w:val="en-US"/>
              </w:rPr>
              <w:t>0.36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1015</w:t>
            </w:r>
          </w:p>
        </w:tc>
        <w:tc>
          <w:tcPr>
            <w:tcW w:w="1276" w:type="dxa"/>
            <w:shd w:val="clear" w:color="auto" w:fill="auto"/>
            <w:vAlign w:val="center"/>
          </w:tcPr>
          <w:p>
            <w:pPr>
              <w:jc w:val="center"/>
              <w:rPr>
                <w:lang w:val="en-US"/>
              </w:rPr>
            </w:pPr>
            <w:r>
              <w:rPr>
                <w:lang w:val="en-US"/>
              </w:rPr>
              <w:t>-1.18</w:t>
            </w:r>
          </w:p>
        </w:tc>
        <w:tc>
          <w:tcPr>
            <w:tcW w:w="1276" w:type="dxa"/>
            <w:shd w:val="clear" w:color="auto" w:fill="auto"/>
            <w:vAlign w:val="center"/>
          </w:tcPr>
          <w:p>
            <w:pPr>
              <w:jc w:val="center"/>
              <w:rPr>
                <w:lang w:val="en-US"/>
              </w:rPr>
            </w:pPr>
            <w:r>
              <w:rPr>
                <w:lang w:val="en-US"/>
              </w:rPr>
              <w:t>-1.37</w:t>
            </w:r>
          </w:p>
        </w:tc>
        <w:tc>
          <w:tcPr>
            <w:tcW w:w="1701" w:type="dxa"/>
            <w:shd w:val="clear" w:color="auto" w:fill="auto"/>
            <w:vAlign w:val="center"/>
          </w:tcPr>
          <w:p>
            <w:pPr>
              <w:jc w:val="center"/>
              <w:rPr>
                <w:lang w:val="en-US"/>
              </w:rPr>
            </w:pPr>
            <w:r>
              <w:rPr>
                <w:lang w:val="en-US"/>
              </w:rPr>
              <w:t>0.19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1016</w:t>
            </w:r>
          </w:p>
        </w:tc>
        <w:tc>
          <w:tcPr>
            <w:tcW w:w="1276" w:type="dxa"/>
            <w:shd w:val="clear" w:color="auto" w:fill="auto"/>
            <w:vAlign w:val="center"/>
          </w:tcPr>
          <w:p>
            <w:pPr>
              <w:jc w:val="center"/>
              <w:rPr>
                <w:lang w:val="en-US"/>
              </w:rPr>
            </w:pPr>
            <w:r>
              <w:rPr>
                <w:lang w:val="en-US"/>
              </w:rPr>
              <w:t>-1.03</w:t>
            </w:r>
          </w:p>
        </w:tc>
        <w:tc>
          <w:tcPr>
            <w:tcW w:w="1276" w:type="dxa"/>
            <w:shd w:val="clear" w:color="auto" w:fill="auto"/>
            <w:vAlign w:val="center"/>
          </w:tcPr>
          <w:p>
            <w:pPr>
              <w:jc w:val="center"/>
              <w:rPr>
                <w:lang w:val="en-US"/>
              </w:rPr>
            </w:pPr>
            <w:r>
              <w:rPr>
                <w:lang w:val="en-US"/>
              </w:rPr>
              <w:t>-1.51</w:t>
            </w:r>
          </w:p>
        </w:tc>
        <w:tc>
          <w:tcPr>
            <w:tcW w:w="1701" w:type="dxa"/>
            <w:shd w:val="clear" w:color="auto" w:fill="auto"/>
            <w:vAlign w:val="center"/>
          </w:tcPr>
          <w:p>
            <w:pPr>
              <w:jc w:val="center"/>
              <w:rPr>
                <w:lang w:val="en-US"/>
              </w:rPr>
            </w:pPr>
            <w:r>
              <w:rPr>
                <w:lang w:val="en-US"/>
              </w:rPr>
              <w:t>0.48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1017</w:t>
            </w:r>
          </w:p>
        </w:tc>
        <w:tc>
          <w:tcPr>
            <w:tcW w:w="1276" w:type="dxa"/>
            <w:shd w:val="clear" w:color="auto" w:fill="auto"/>
            <w:vAlign w:val="center"/>
          </w:tcPr>
          <w:p>
            <w:pPr>
              <w:jc w:val="center"/>
              <w:rPr>
                <w:lang w:val="en-US"/>
              </w:rPr>
            </w:pPr>
            <w:r>
              <w:rPr>
                <w:lang w:val="en-US"/>
              </w:rPr>
              <w:t>-0.00</w:t>
            </w:r>
          </w:p>
        </w:tc>
        <w:tc>
          <w:tcPr>
            <w:tcW w:w="1276" w:type="dxa"/>
            <w:shd w:val="clear" w:color="auto" w:fill="auto"/>
            <w:vAlign w:val="center"/>
          </w:tcPr>
          <w:p>
            <w:pPr>
              <w:jc w:val="center"/>
              <w:rPr>
                <w:lang w:val="en-US"/>
              </w:rPr>
            </w:pPr>
            <w:r>
              <w:rPr>
                <w:lang w:val="en-US"/>
              </w:rPr>
              <w:t>-0.35</w:t>
            </w:r>
          </w:p>
        </w:tc>
        <w:tc>
          <w:tcPr>
            <w:tcW w:w="1701" w:type="dxa"/>
            <w:shd w:val="clear" w:color="auto" w:fill="auto"/>
            <w:vAlign w:val="center"/>
          </w:tcPr>
          <w:p>
            <w:pPr>
              <w:jc w:val="center"/>
              <w:rPr>
                <w:lang w:val="en-US"/>
              </w:rPr>
            </w:pPr>
            <w:r>
              <w:rPr>
                <w:lang w:val="en-US"/>
              </w:rPr>
              <w:t>0.35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w:t>
            </w:r>
          </w:p>
        </w:tc>
        <w:tc>
          <w:tcPr>
            <w:tcW w:w="1276" w:type="dxa"/>
            <w:shd w:val="clear" w:color="auto" w:fill="auto"/>
            <w:vAlign w:val="center"/>
          </w:tcPr>
          <w:p>
            <w:pPr>
              <w:jc w:val="center"/>
              <w:rPr>
                <w:lang w:val="en-US"/>
              </w:rPr>
            </w:pPr>
            <w:r>
              <w:rPr>
                <w:lang w:val="en-US"/>
              </w:rPr>
              <w:t>-1.40</w:t>
            </w:r>
          </w:p>
        </w:tc>
        <w:tc>
          <w:tcPr>
            <w:tcW w:w="1276" w:type="dxa"/>
            <w:shd w:val="clear" w:color="auto" w:fill="auto"/>
            <w:vAlign w:val="center"/>
          </w:tcPr>
          <w:p>
            <w:pPr>
              <w:jc w:val="center"/>
              <w:rPr>
                <w:lang w:val="en-US"/>
              </w:rPr>
            </w:pPr>
            <w:r>
              <w:rPr>
                <w:lang w:val="en-US"/>
              </w:rPr>
              <w:t>-2.82</w:t>
            </w:r>
          </w:p>
        </w:tc>
        <w:tc>
          <w:tcPr>
            <w:tcW w:w="1701" w:type="dxa"/>
            <w:shd w:val="clear" w:color="auto" w:fill="auto"/>
            <w:vAlign w:val="center"/>
          </w:tcPr>
          <w:p>
            <w:pPr>
              <w:jc w:val="center"/>
              <w:rPr>
                <w:lang w:val="en-US"/>
              </w:rPr>
            </w:pPr>
            <w:r>
              <w:rPr>
                <w:lang w:val="en-US"/>
              </w:rPr>
              <w:t>1.42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2001</w:t>
            </w:r>
          </w:p>
        </w:tc>
        <w:tc>
          <w:tcPr>
            <w:tcW w:w="1276" w:type="dxa"/>
            <w:shd w:val="clear" w:color="auto" w:fill="auto"/>
            <w:vAlign w:val="center"/>
          </w:tcPr>
          <w:p>
            <w:pPr>
              <w:jc w:val="center"/>
              <w:rPr>
                <w:lang w:val="en-US"/>
              </w:rPr>
            </w:pPr>
            <w:r>
              <w:rPr>
                <w:lang w:val="en-US"/>
              </w:rPr>
              <w:t>3.31</w:t>
            </w:r>
          </w:p>
        </w:tc>
        <w:tc>
          <w:tcPr>
            <w:tcW w:w="1276" w:type="dxa"/>
            <w:shd w:val="clear" w:color="auto" w:fill="auto"/>
            <w:vAlign w:val="center"/>
          </w:tcPr>
          <w:p>
            <w:pPr>
              <w:jc w:val="center"/>
              <w:rPr>
                <w:lang w:val="en-US"/>
              </w:rPr>
            </w:pPr>
            <w:r>
              <w:rPr>
                <w:lang w:val="en-US"/>
              </w:rPr>
              <w:t>-1.32</w:t>
            </w:r>
          </w:p>
        </w:tc>
        <w:tc>
          <w:tcPr>
            <w:tcW w:w="1701" w:type="dxa"/>
            <w:shd w:val="clear" w:color="auto" w:fill="auto"/>
            <w:vAlign w:val="center"/>
          </w:tcPr>
          <w:p>
            <w:pPr>
              <w:jc w:val="center"/>
              <w:rPr>
                <w:lang w:val="en-US"/>
              </w:rPr>
            </w:pPr>
            <w:r>
              <w:rPr>
                <w:lang w:val="en-US"/>
              </w:rPr>
              <w:t>4.63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2004</w:t>
            </w:r>
          </w:p>
        </w:tc>
        <w:tc>
          <w:tcPr>
            <w:tcW w:w="1276" w:type="dxa"/>
            <w:shd w:val="clear" w:color="auto" w:fill="auto"/>
            <w:vAlign w:val="center"/>
          </w:tcPr>
          <w:p>
            <w:pPr>
              <w:jc w:val="center"/>
              <w:rPr>
                <w:lang w:val="en-US"/>
              </w:rPr>
            </w:pPr>
            <w:r>
              <w:rPr>
                <w:lang w:val="en-US"/>
              </w:rPr>
              <w:t>1.80</w:t>
            </w:r>
          </w:p>
        </w:tc>
        <w:tc>
          <w:tcPr>
            <w:tcW w:w="1276" w:type="dxa"/>
            <w:shd w:val="clear" w:color="auto" w:fill="auto"/>
            <w:vAlign w:val="center"/>
          </w:tcPr>
          <w:p>
            <w:pPr>
              <w:jc w:val="center"/>
              <w:rPr>
                <w:lang w:val="en-US"/>
              </w:rPr>
            </w:pPr>
            <w:r>
              <w:rPr>
                <w:lang w:val="en-US"/>
              </w:rPr>
              <w:t>-2.77</w:t>
            </w:r>
          </w:p>
        </w:tc>
        <w:tc>
          <w:tcPr>
            <w:tcW w:w="1701" w:type="dxa"/>
            <w:shd w:val="clear" w:color="auto" w:fill="auto"/>
            <w:vAlign w:val="center"/>
          </w:tcPr>
          <w:p>
            <w:pPr>
              <w:jc w:val="center"/>
              <w:rPr>
                <w:lang w:val="en-US"/>
              </w:rPr>
            </w:pPr>
            <w:r>
              <w:rPr>
                <w:lang w:val="en-US"/>
              </w:rPr>
              <w:t>4.58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2005</w:t>
            </w:r>
          </w:p>
        </w:tc>
        <w:tc>
          <w:tcPr>
            <w:tcW w:w="1276" w:type="dxa"/>
            <w:shd w:val="clear" w:color="auto" w:fill="auto"/>
            <w:vAlign w:val="center"/>
          </w:tcPr>
          <w:p>
            <w:pPr>
              <w:jc w:val="center"/>
              <w:rPr>
                <w:lang w:val="en-US"/>
              </w:rPr>
            </w:pPr>
            <w:r>
              <w:rPr>
                <w:lang w:val="en-US"/>
              </w:rPr>
              <w:t>0.21</w:t>
            </w:r>
          </w:p>
        </w:tc>
        <w:tc>
          <w:tcPr>
            <w:tcW w:w="1276" w:type="dxa"/>
            <w:shd w:val="clear" w:color="auto" w:fill="auto"/>
            <w:vAlign w:val="center"/>
          </w:tcPr>
          <w:p>
            <w:pPr>
              <w:jc w:val="center"/>
              <w:rPr>
                <w:lang w:val="en-US"/>
              </w:rPr>
            </w:pPr>
            <w:r>
              <w:rPr>
                <w:lang w:val="en-US"/>
              </w:rPr>
              <w:t>-2.17</w:t>
            </w:r>
          </w:p>
        </w:tc>
        <w:tc>
          <w:tcPr>
            <w:tcW w:w="1701" w:type="dxa"/>
            <w:shd w:val="clear" w:color="auto" w:fill="auto"/>
            <w:vAlign w:val="center"/>
          </w:tcPr>
          <w:p>
            <w:pPr>
              <w:jc w:val="center"/>
              <w:rPr>
                <w:lang w:val="en-US"/>
              </w:rPr>
            </w:pPr>
            <w:r>
              <w:rPr>
                <w:lang w:val="en-US"/>
              </w:rPr>
              <w:t>2.37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2006</w:t>
            </w:r>
          </w:p>
        </w:tc>
        <w:tc>
          <w:tcPr>
            <w:tcW w:w="1276" w:type="dxa"/>
            <w:shd w:val="clear" w:color="auto" w:fill="auto"/>
            <w:vAlign w:val="center"/>
          </w:tcPr>
          <w:p>
            <w:pPr>
              <w:jc w:val="center"/>
              <w:rPr>
                <w:lang w:val="en-US"/>
              </w:rPr>
            </w:pPr>
            <w:r>
              <w:rPr>
                <w:lang w:val="en-US"/>
              </w:rPr>
              <w:t>-1.31</w:t>
            </w:r>
          </w:p>
        </w:tc>
        <w:tc>
          <w:tcPr>
            <w:tcW w:w="1276" w:type="dxa"/>
            <w:shd w:val="clear" w:color="auto" w:fill="auto"/>
            <w:vAlign w:val="center"/>
          </w:tcPr>
          <w:p>
            <w:pPr>
              <w:jc w:val="center"/>
              <w:rPr>
                <w:lang w:val="en-US"/>
              </w:rPr>
            </w:pPr>
            <w:r>
              <w:rPr>
                <w:lang w:val="en-US"/>
              </w:rPr>
              <w:t>-1.88</w:t>
            </w:r>
          </w:p>
        </w:tc>
        <w:tc>
          <w:tcPr>
            <w:tcW w:w="1701" w:type="dxa"/>
            <w:shd w:val="clear" w:color="auto" w:fill="auto"/>
            <w:vAlign w:val="center"/>
          </w:tcPr>
          <w:p>
            <w:pPr>
              <w:jc w:val="center"/>
              <w:rPr>
                <w:lang w:val="en-US"/>
              </w:rPr>
            </w:pPr>
            <w:r>
              <w:rPr>
                <w:lang w:val="en-US"/>
              </w:rPr>
              <w:t>0.57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2007</w:t>
            </w:r>
          </w:p>
        </w:tc>
        <w:tc>
          <w:tcPr>
            <w:tcW w:w="1276" w:type="dxa"/>
            <w:shd w:val="clear" w:color="auto" w:fill="auto"/>
            <w:vAlign w:val="center"/>
          </w:tcPr>
          <w:p>
            <w:pPr>
              <w:jc w:val="center"/>
              <w:rPr>
                <w:lang w:val="en-US"/>
              </w:rPr>
            </w:pPr>
            <w:r>
              <w:rPr>
                <w:lang w:val="en-US"/>
              </w:rPr>
              <w:t>0.83</w:t>
            </w:r>
          </w:p>
        </w:tc>
        <w:tc>
          <w:tcPr>
            <w:tcW w:w="1276" w:type="dxa"/>
            <w:shd w:val="clear" w:color="auto" w:fill="auto"/>
            <w:vAlign w:val="center"/>
          </w:tcPr>
          <w:p>
            <w:pPr>
              <w:jc w:val="center"/>
              <w:rPr>
                <w:lang w:val="en-US"/>
              </w:rPr>
            </w:pPr>
            <w:r>
              <w:rPr>
                <w:lang w:val="en-US"/>
              </w:rPr>
              <w:t>-2.23</w:t>
            </w:r>
          </w:p>
        </w:tc>
        <w:tc>
          <w:tcPr>
            <w:tcW w:w="1701" w:type="dxa"/>
            <w:shd w:val="clear" w:color="auto" w:fill="auto"/>
            <w:vAlign w:val="center"/>
          </w:tcPr>
          <w:p>
            <w:pPr>
              <w:jc w:val="center"/>
              <w:rPr>
                <w:lang w:val="en-US"/>
              </w:rPr>
            </w:pPr>
            <w:r>
              <w:rPr>
                <w:lang w:val="en-US"/>
              </w:rPr>
              <w:t>3.07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2008</w:t>
            </w:r>
          </w:p>
        </w:tc>
        <w:tc>
          <w:tcPr>
            <w:tcW w:w="1276" w:type="dxa"/>
            <w:shd w:val="clear" w:color="auto" w:fill="auto"/>
            <w:vAlign w:val="center"/>
          </w:tcPr>
          <w:p>
            <w:pPr>
              <w:jc w:val="center"/>
              <w:rPr>
                <w:lang w:val="en-US"/>
              </w:rPr>
            </w:pPr>
            <w:r>
              <w:rPr>
                <w:lang w:val="en-US"/>
              </w:rPr>
              <w:t>-0.23</w:t>
            </w:r>
          </w:p>
        </w:tc>
        <w:tc>
          <w:tcPr>
            <w:tcW w:w="1276" w:type="dxa"/>
            <w:shd w:val="clear" w:color="auto" w:fill="auto"/>
            <w:vAlign w:val="center"/>
          </w:tcPr>
          <w:p>
            <w:pPr>
              <w:jc w:val="center"/>
              <w:rPr>
                <w:lang w:val="en-US"/>
              </w:rPr>
            </w:pPr>
            <w:r>
              <w:rPr>
                <w:lang w:val="en-US"/>
              </w:rPr>
              <w:t>-2.65</w:t>
            </w:r>
          </w:p>
        </w:tc>
        <w:tc>
          <w:tcPr>
            <w:tcW w:w="1701" w:type="dxa"/>
            <w:shd w:val="clear" w:color="auto" w:fill="auto"/>
            <w:vAlign w:val="center"/>
          </w:tcPr>
          <w:p>
            <w:pPr>
              <w:jc w:val="center"/>
              <w:rPr>
                <w:lang w:val="en-US"/>
              </w:rPr>
            </w:pPr>
            <w:r>
              <w:rPr>
                <w:lang w:val="en-US"/>
              </w:rPr>
              <w:t>2.42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2009</w:t>
            </w:r>
          </w:p>
        </w:tc>
        <w:tc>
          <w:tcPr>
            <w:tcW w:w="1276" w:type="dxa"/>
            <w:shd w:val="clear" w:color="auto" w:fill="auto"/>
            <w:vAlign w:val="center"/>
          </w:tcPr>
          <w:p>
            <w:pPr>
              <w:jc w:val="center"/>
              <w:rPr>
                <w:lang w:val="en-US"/>
              </w:rPr>
            </w:pPr>
            <w:r>
              <w:rPr>
                <w:lang w:val="en-US"/>
              </w:rPr>
              <w:t>-0.89</w:t>
            </w:r>
          </w:p>
        </w:tc>
        <w:tc>
          <w:tcPr>
            <w:tcW w:w="1276" w:type="dxa"/>
            <w:shd w:val="clear" w:color="auto" w:fill="auto"/>
            <w:vAlign w:val="center"/>
          </w:tcPr>
          <w:p>
            <w:pPr>
              <w:jc w:val="center"/>
              <w:rPr>
                <w:lang w:val="en-US"/>
              </w:rPr>
            </w:pPr>
            <w:r>
              <w:rPr>
                <w:lang w:val="en-US"/>
              </w:rPr>
              <w:t>-2.58</w:t>
            </w:r>
          </w:p>
        </w:tc>
        <w:tc>
          <w:tcPr>
            <w:tcW w:w="1701" w:type="dxa"/>
            <w:shd w:val="clear" w:color="auto" w:fill="auto"/>
            <w:vAlign w:val="center"/>
          </w:tcPr>
          <w:p>
            <w:pPr>
              <w:jc w:val="center"/>
              <w:rPr>
                <w:lang w:val="en-US"/>
              </w:rPr>
            </w:pPr>
            <w:r>
              <w:rPr>
                <w:lang w:val="en-US"/>
              </w:rPr>
              <w:t>1.68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2010</w:t>
            </w:r>
          </w:p>
        </w:tc>
        <w:tc>
          <w:tcPr>
            <w:tcW w:w="1276" w:type="dxa"/>
            <w:shd w:val="clear" w:color="auto" w:fill="auto"/>
            <w:vAlign w:val="center"/>
          </w:tcPr>
          <w:p>
            <w:pPr>
              <w:jc w:val="center"/>
              <w:rPr>
                <w:lang w:val="en-US"/>
              </w:rPr>
            </w:pPr>
            <w:r>
              <w:rPr>
                <w:lang w:val="en-US"/>
              </w:rPr>
              <w:t>-2.18</w:t>
            </w:r>
          </w:p>
        </w:tc>
        <w:tc>
          <w:tcPr>
            <w:tcW w:w="1276" w:type="dxa"/>
            <w:shd w:val="clear" w:color="auto" w:fill="auto"/>
            <w:vAlign w:val="center"/>
          </w:tcPr>
          <w:p>
            <w:pPr>
              <w:jc w:val="center"/>
              <w:rPr>
                <w:lang w:val="en-US"/>
              </w:rPr>
            </w:pPr>
            <w:r>
              <w:rPr>
                <w:lang w:val="en-US"/>
              </w:rPr>
              <w:t>-3.84</w:t>
            </w:r>
          </w:p>
        </w:tc>
        <w:tc>
          <w:tcPr>
            <w:tcW w:w="1701" w:type="dxa"/>
            <w:shd w:val="clear" w:color="auto" w:fill="auto"/>
            <w:vAlign w:val="center"/>
          </w:tcPr>
          <w:p>
            <w:pPr>
              <w:jc w:val="center"/>
              <w:rPr>
                <w:lang w:val="en-US"/>
              </w:rPr>
            </w:pPr>
            <w:r>
              <w:rPr>
                <w:lang w:val="en-US"/>
              </w:rPr>
              <w:t>1.67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2011</w:t>
            </w:r>
          </w:p>
        </w:tc>
        <w:tc>
          <w:tcPr>
            <w:tcW w:w="1276" w:type="dxa"/>
            <w:shd w:val="clear" w:color="auto" w:fill="auto"/>
            <w:vAlign w:val="center"/>
          </w:tcPr>
          <w:p>
            <w:pPr>
              <w:jc w:val="center"/>
              <w:rPr>
                <w:lang w:val="en-US"/>
              </w:rPr>
            </w:pPr>
            <w:r>
              <w:rPr>
                <w:lang w:val="en-US"/>
              </w:rPr>
              <w:t>-0.92</w:t>
            </w:r>
          </w:p>
        </w:tc>
        <w:tc>
          <w:tcPr>
            <w:tcW w:w="1276" w:type="dxa"/>
            <w:shd w:val="clear" w:color="auto" w:fill="auto"/>
            <w:vAlign w:val="center"/>
          </w:tcPr>
          <w:p>
            <w:pPr>
              <w:jc w:val="center"/>
              <w:rPr>
                <w:lang w:val="en-US"/>
              </w:rPr>
            </w:pPr>
            <w:r>
              <w:rPr>
                <w:lang w:val="en-US"/>
              </w:rPr>
              <w:t>-3.57</w:t>
            </w:r>
          </w:p>
        </w:tc>
        <w:tc>
          <w:tcPr>
            <w:tcW w:w="1701" w:type="dxa"/>
            <w:shd w:val="clear" w:color="auto" w:fill="auto"/>
            <w:vAlign w:val="center"/>
          </w:tcPr>
          <w:p>
            <w:pPr>
              <w:jc w:val="center"/>
              <w:rPr>
                <w:lang w:val="en-US"/>
              </w:rPr>
            </w:pPr>
            <w:r>
              <w:rPr>
                <w:lang w:val="en-US"/>
              </w:rPr>
              <w:t>2.65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2012</w:t>
            </w:r>
          </w:p>
        </w:tc>
        <w:tc>
          <w:tcPr>
            <w:tcW w:w="1276" w:type="dxa"/>
            <w:shd w:val="clear" w:color="auto" w:fill="auto"/>
            <w:vAlign w:val="center"/>
          </w:tcPr>
          <w:p>
            <w:pPr>
              <w:jc w:val="center"/>
              <w:rPr>
                <w:lang w:val="en-US"/>
              </w:rPr>
            </w:pPr>
            <w:r>
              <w:rPr>
                <w:lang w:val="en-US"/>
              </w:rPr>
              <w:t>-1.44</w:t>
            </w:r>
          </w:p>
        </w:tc>
        <w:tc>
          <w:tcPr>
            <w:tcW w:w="1276" w:type="dxa"/>
            <w:shd w:val="clear" w:color="auto" w:fill="auto"/>
            <w:vAlign w:val="center"/>
          </w:tcPr>
          <w:p>
            <w:pPr>
              <w:jc w:val="center"/>
              <w:rPr>
                <w:lang w:val="en-US"/>
              </w:rPr>
            </w:pPr>
            <w:r>
              <w:rPr>
                <w:lang w:val="en-US"/>
              </w:rPr>
              <w:t>-3.13</w:t>
            </w:r>
          </w:p>
        </w:tc>
        <w:tc>
          <w:tcPr>
            <w:tcW w:w="1701" w:type="dxa"/>
            <w:shd w:val="clear" w:color="auto" w:fill="auto"/>
            <w:vAlign w:val="center"/>
          </w:tcPr>
          <w:p>
            <w:pPr>
              <w:jc w:val="center"/>
              <w:rPr>
                <w:lang w:val="en-US"/>
              </w:rPr>
            </w:pPr>
            <w:r>
              <w:rPr>
                <w:lang w:val="en-US"/>
              </w:rPr>
              <w:t>1.70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2013</w:t>
            </w:r>
          </w:p>
        </w:tc>
        <w:tc>
          <w:tcPr>
            <w:tcW w:w="1276" w:type="dxa"/>
            <w:shd w:val="clear" w:color="auto" w:fill="auto"/>
            <w:vAlign w:val="center"/>
          </w:tcPr>
          <w:p>
            <w:pPr>
              <w:jc w:val="center"/>
              <w:rPr>
                <w:lang w:val="en-US"/>
              </w:rPr>
            </w:pPr>
            <w:r>
              <w:rPr>
                <w:lang w:val="en-US"/>
              </w:rPr>
              <w:t>-2.29</w:t>
            </w:r>
          </w:p>
        </w:tc>
        <w:tc>
          <w:tcPr>
            <w:tcW w:w="1276" w:type="dxa"/>
            <w:shd w:val="clear" w:color="auto" w:fill="auto"/>
            <w:vAlign w:val="center"/>
          </w:tcPr>
          <w:p>
            <w:pPr>
              <w:jc w:val="center"/>
              <w:rPr>
                <w:lang w:val="en-US"/>
              </w:rPr>
            </w:pPr>
            <w:r>
              <w:rPr>
                <w:lang w:val="en-US"/>
              </w:rPr>
              <w:t>-2.91</w:t>
            </w:r>
          </w:p>
        </w:tc>
        <w:tc>
          <w:tcPr>
            <w:tcW w:w="1701" w:type="dxa"/>
            <w:shd w:val="clear" w:color="auto" w:fill="auto"/>
            <w:vAlign w:val="center"/>
          </w:tcPr>
          <w:p>
            <w:pPr>
              <w:jc w:val="center"/>
              <w:rPr>
                <w:lang w:val="en-US"/>
              </w:rPr>
            </w:pPr>
            <w:r>
              <w:rPr>
                <w:lang w:val="en-US"/>
              </w:rPr>
              <w:t>0.62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3</w:t>
            </w:r>
          </w:p>
        </w:tc>
        <w:tc>
          <w:tcPr>
            <w:tcW w:w="1276" w:type="dxa"/>
            <w:shd w:val="clear" w:color="auto" w:fill="auto"/>
            <w:vAlign w:val="center"/>
          </w:tcPr>
          <w:p>
            <w:pPr>
              <w:jc w:val="center"/>
              <w:rPr>
                <w:lang w:val="en-US"/>
              </w:rPr>
            </w:pPr>
            <w:r>
              <w:rPr>
                <w:lang w:val="en-US"/>
              </w:rPr>
              <w:t>-0.93</w:t>
            </w:r>
          </w:p>
        </w:tc>
        <w:tc>
          <w:tcPr>
            <w:tcW w:w="1276" w:type="dxa"/>
            <w:shd w:val="clear" w:color="auto" w:fill="auto"/>
            <w:vAlign w:val="center"/>
          </w:tcPr>
          <w:p>
            <w:pPr>
              <w:jc w:val="center"/>
              <w:rPr>
                <w:lang w:val="en-US"/>
              </w:rPr>
            </w:pPr>
            <w:r>
              <w:rPr>
                <w:lang w:val="en-US"/>
              </w:rPr>
              <w:t>-3.72</w:t>
            </w:r>
          </w:p>
        </w:tc>
        <w:tc>
          <w:tcPr>
            <w:tcW w:w="1701" w:type="dxa"/>
            <w:shd w:val="clear" w:color="auto" w:fill="auto"/>
            <w:vAlign w:val="center"/>
          </w:tcPr>
          <w:p>
            <w:pPr>
              <w:jc w:val="center"/>
              <w:rPr>
                <w:lang w:val="en-US"/>
              </w:rPr>
            </w:pPr>
            <w:r>
              <w:rPr>
                <w:lang w:val="en-US"/>
              </w:rPr>
              <w:t>2.79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3001</w:t>
            </w:r>
          </w:p>
        </w:tc>
        <w:tc>
          <w:tcPr>
            <w:tcW w:w="1276" w:type="dxa"/>
            <w:shd w:val="clear" w:color="auto" w:fill="auto"/>
            <w:vAlign w:val="center"/>
          </w:tcPr>
          <w:p>
            <w:pPr>
              <w:jc w:val="center"/>
              <w:rPr>
                <w:lang w:val="en-US"/>
              </w:rPr>
            </w:pPr>
            <w:r>
              <w:rPr>
                <w:lang w:val="en-US"/>
              </w:rPr>
              <w:t>0.04</w:t>
            </w:r>
          </w:p>
        </w:tc>
        <w:tc>
          <w:tcPr>
            <w:tcW w:w="1276" w:type="dxa"/>
            <w:shd w:val="clear" w:color="auto" w:fill="auto"/>
            <w:vAlign w:val="center"/>
          </w:tcPr>
          <w:p>
            <w:pPr>
              <w:jc w:val="center"/>
              <w:rPr>
                <w:lang w:val="en-US"/>
              </w:rPr>
            </w:pPr>
            <w:r>
              <w:rPr>
                <w:lang w:val="en-US"/>
              </w:rPr>
              <w:t>-4.36</w:t>
            </w:r>
          </w:p>
        </w:tc>
        <w:tc>
          <w:tcPr>
            <w:tcW w:w="1701" w:type="dxa"/>
            <w:shd w:val="clear" w:color="auto" w:fill="auto"/>
            <w:vAlign w:val="center"/>
          </w:tcPr>
          <w:p>
            <w:pPr>
              <w:jc w:val="center"/>
              <w:rPr>
                <w:lang w:val="en-US"/>
              </w:rPr>
            </w:pPr>
            <w:r>
              <w:rPr>
                <w:lang w:val="en-US"/>
              </w:rPr>
              <w:t>4.39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4</w:t>
            </w:r>
          </w:p>
        </w:tc>
        <w:tc>
          <w:tcPr>
            <w:tcW w:w="1276" w:type="dxa"/>
            <w:shd w:val="clear" w:color="auto" w:fill="auto"/>
            <w:vAlign w:val="center"/>
          </w:tcPr>
          <w:p>
            <w:pPr>
              <w:jc w:val="center"/>
              <w:rPr>
                <w:lang w:val="en-US"/>
              </w:rPr>
            </w:pPr>
            <w:r>
              <w:rPr>
                <w:lang w:val="en-US"/>
              </w:rPr>
              <w:t>-2.55</w:t>
            </w:r>
          </w:p>
        </w:tc>
        <w:tc>
          <w:tcPr>
            <w:tcW w:w="1276" w:type="dxa"/>
            <w:shd w:val="clear" w:color="auto" w:fill="auto"/>
            <w:vAlign w:val="center"/>
          </w:tcPr>
          <w:p>
            <w:pPr>
              <w:jc w:val="center"/>
              <w:rPr>
                <w:lang w:val="en-US"/>
              </w:rPr>
            </w:pPr>
            <w:r>
              <w:rPr>
                <w:lang w:val="en-US"/>
              </w:rPr>
              <w:t>-3.75</w:t>
            </w:r>
          </w:p>
        </w:tc>
        <w:tc>
          <w:tcPr>
            <w:tcW w:w="1701" w:type="dxa"/>
            <w:shd w:val="clear" w:color="auto" w:fill="auto"/>
            <w:vAlign w:val="center"/>
          </w:tcPr>
          <w:p>
            <w:pPr>
              <w:jc w:val="center"/>
              <w:rPr>
                <w:lang w:val="en-US"/>
              </w:rPr>
            </w:pPr>
            <w:r>
              <w:rPr>
                <w:lang w:val="en-US"/>
              </w:rPr>
              <w:t>1.20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单体</w:t>
            </w:r>
          </w:p>
        </w:tc>
        <w:tc>
          <w:tcPr>
            <w:tcW w:w="1276" w:type="dxa"/>
            <w:shd w:val="clear" w:color="auto" w:fill="auto"/>
            <w:vAlign w:val="center"/>
          </w:tcPr>
          <w:p>
            <w:pPr>
              <w:jc w:val="center"/>
              <w:rPr>
                <w:lang w:val="en-US"/>
              </w:rPr>
            </w:pPr>
            <w:r>
              <w:rPr>
                <w:lang w:val="en-US"/>
              </w:rPr>
              <w:t>-1.43</w:t>
            </w:r>
          </w:p>
        </w:tc>
        <w:tc>
          <w:tcPr>
            <w:tcW w:w="1276" w:type="dxa"/>
            <w:shd w:val="clear" w:color="auto" w:fill="auto"/>
            <w:vAlign w:val="center"/>
          </w:tcPr>
          <w:p>
            <w:pPr>
              <w:jc w:val="center"/>
              <w:rPr>
                <w:lang w:val="en-US"/>
              </w:rPr>
            </w:pPr>
            <w:r>
              <w:rPr>
                <w:lang w:val="en-US"/>
              </w:rPr>
              <w:t>-1.62</w:t>
            </w:r>
          </w:p>
        </w:tc>
        <w:tc>
          <w:tcPr>
            <w:tcW w:w="1701" w:type="dxa"/>
            <w:shd w:val="clear" w:color="auto" w:fill="auto"/>
            <w:vAlign w:val="center"/>
          </w:tcPr>
          <w:p>
            <w:pPr>
              <w:jc w:val="center"/>
              <w:rPr>
                <w:lang w:val="en-US"/>
              </w:rPr>
            </w:pPr>
            <w:r>
              <w:rPr>
                <w:lang w:val="en-US"/>
              </w:rPr>
              <w:t>0.19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w:t>
            </w:r>
          </w:p>
        </w:tc>
        <w:tc>
          <w:tcPr>
            <w:tcW w:w="1276" w:type="dxa"/>
            <w:shd w:val="clear" w:color="auto" w:fill="auto"/>
            <w:vAlign w:val="center"/>
          </w:tcPr>
          <w:p>
            <w:pPr>
              <w:jc w:val="center"/>
              <w:rPr>
                <w:lang w:val="en-US"/>
              </w:rPr>
            </w:pPr>
            <w:r>
              <w:rPr>
                <w:lang w:val="en-US"/>
              </w:rPr>
              <w:t>0.00</w:t>
            </w:r>
          </w:p>
        </w:tc>
        <w:tc>
          <w:tcPr>
            <w:tcW w:w="1276" w:type="dxa"/>
            <w:shd w:val="clear" w:color="auto" w:fill="auto"/>
            <w:vAlign w:val="center"/>
          </w:tcPr>
          <w:p>
            <w:pPr>
              <w:jc w:val="center"/>
              <w:rPr>
                <w:lang w:val="en-US"/>
              </w:rPr>
            </w:pPr>
            <w:r>
              <w:rPr>
                <w:lang w:val="en-US"/>
              </w:rPr>
              <w:t>0.00</w:t>
            </w:r>
          </w:p>
        </w:tc>
        <w:tc>
          <w:tcPr>
            <w:tcW w:w="1701" w:type="dxa"/>
            <w:shd w:val="clear" w:color="auto" w:fill="auto"/>
            <w:vAlign w:val="center"/>
          </w:tcPr>
          <w:p>
            <w:pPr>
              <w:jc w:val="center"/>
              <w:rPr>
                <w:lang w:val="en-US"/>
              </w:rPr>
            </w:pPr>
            <w:r>
              <w:rPr>
                <w:lang w:val="en-US"/>
              </w:rPr>
              <w:t>0.00</w:t>
            </w:r>
          </w:p>
        </w:tc>
        <w:tc>
          <w:tcPr>
            <w:tcW w:w="973" w:type="dxa"/>
            <w:shd w:val="clear" w:color="auto" w:fill="auto"/>
            <w:vAlign w:val="center"/>
          </w:tcPr>
          <w:p>
            <w:pPr>
              <w:jc w:val="center"/>
              <w:rPr>
                <w:lang w:val="en-US"/>
              </w:rPr>
            </w:pPr>
            <w:r>
              <w:rPr>
                <w:lang w:val="en-US"/>
              </w:rPr>
              <w:t>是</w:t>
            </w:r>
          </w:p>
        </w:tc>
      </w:tr>
      <w:bookmarkEnd w:id="113"/>
    </w:tbl>
    <w:p>
      <w:pPr>
        <w:rPr>
          <w:lang w:val="en-US"/>
        </w:rPr>
      </w:pPr>
      <w:bookmarkStart w:id="114" w:name="建筑迎风和背风面风压差结论汇总结论"/>
      <w:bookmarkEnd w:id="114"/>
      <w:r>
        <w:rPr>
          <w:lang w:val="en-US"/>
        </w:rPr>
        <w:t>结论：本项目中所有参评建筑</w:t>
      </w:r>
      <w:r>
        <w:rPr>
          <w:b/>
          <w:color w:val="0000FF"/>
          <w:lang w:val="en-US"/>
        </w:rPr>
        <w:t>满足</w:t>
      </w:r>
      <w:r>
        <w:rPr>
          <w:lang w:val="en-US"/>
        </w:rPr>
        <w:t>“除迎风第一排建筑外，建筑迎风面与背风面表面风压差不超过5Pa”的要求。</w:t>
      </w:r>
    </w:p>
    <w:p>
      <w:pPr>
        <w:rPr>
          <w:lang w:val="en-US"/>
        </w:rPr>
      </w:pPr>
      <w:r>
        <w:rPr>
          <w:b/>
          <w:color w:val="000000"/>
          <w:lang w:val="en-US"/>
        </w:rPr>
        <w:t>说明：所有单体建筑各层迎风和背风面风压差信息详见附录。</w:t>
      </w:r>
    </w:p>
    <w:p>
      <w:pPr>
        <w:rPr>
          <w:lang w:val="en-US"/>
        </w:rPr>
      </w:pPr>
      <w:bookmarkStart w:id="115" w:name="冬季工况"/>
      <w:bookmarkEnd w:id="115"/>
      <w:r>
        <w:rPr>
          <w:rFonts w:hint="eastAsia"/>
          <w:lang w:val="en-US"/>
        </w:rPr>
        <w:t xml:space="preserve"> </w:t>
      </w:r>
    </w:p>
    <w:p>
      <w:pPr>
        <w:pStyle w:val="4"/>
      </w:pPr>
      <w:bookmarkStart w:id="116" w:name="_Toc509844759"/>
      <w:bookmarkStart w:id="117" w:name="_Toc26601"/>
      <w:r>
        <w:rPr>
          <w:rFonts w:hint="eastAsia"/>
        </w:rPr>
        <w:t>夏季工况</w:t>
      </w:r>
      <w:bookmarkEnd w:id="116"/>
      <w:bookmarkEnd w:id="117"/>
    </w:p>
    <w:p>
      <w:pPr>
        <w:pStyle w:val="3"/>
        <w:ind w:firstLine="420"/>
      </w:pPr>
      <w:r>
        <w:rPr>
          <w:rFonts w:hint="eastAsia"/>
          <w:lang w:val="en-US"/>
        </w:rPr>
        <w:t>本项目夏季工况的入口边界风速为</w:t>
      </w:r>
      <w:bookmarkStart w:id="118" w:name="入口边界风速"/>
      <w:r>
        <w:rPr>
          <w:rFonts w:hint="eastAsia"/>
          <w:lang w:val="en-US"/>
        </w:rPr>
        <w:t>3.40</w:t>
      </w:r>
      <w:bookmarkEnd w:id="118"/>
      <w:r>
        <w:rPr>
          <w:rFonts w:hint="eastAsia"/>
          <w:lang w:val="en-US"/>
        </w:rPr>
        <w:t>m/s，风向为</w:t>
      </w:r>
      <w:bookmarkStart w:id="119" w:name="入口边界风向"/>
      <w:r>
        <w:t>SW</w:t>
      </w:r>
      <w:bookmarkEnd w:id="119"/>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0" w:name="季节4"/>
      <w:r>
        <w:rPr>
          <w:rFonts w:hint="eastAsia"/>
          <w:lang w:val="en-US"/>
        </w:rPr>
        <w:t>夏季</w:t>
      </w:r>
      <w:bookmarkEnd w:id="120"/>
      <w:r>
        <w:rPr>
          <w:rFonts w:hint="eastAsia"/>
          <w:lang w:val="en-US"/>
        </w:rPr>
        <w:t>形成有效的巷道风，优化街区自然通风环境，避免</w:t>
      </w:r>
      <w:bookmarkStart w:id="121" w:name="季节5"/>
      <w:r>
        <w:rPr>
          <w:rFonts w:hint="eastAsia"/>
          <w:lang w:val="en-US"/>
        </w:rPr>
        <w:t>夏季</w:t>
      </w:r>
      <w:bookmarkEnd w:id="121"/>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22" w:name="_Toc509844760"/>
      <w:bookmarkStart w:id="123" w:name="_Toc22189"/>
      <w:r>
        <w:rPr>
          <w:rFonts w:hint="eastAsia"/>
        </w:rPr>
        <w:t>无风区计算分析</w:t>
      </w:r>
      <w:bookmarkEnd w:id="122"/>
      <w:bookmarkEnd w:id="123"/>
    </w:p>
    <w:p>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24" w:name="人活动区风速分析结论"/>
      <w:bookmarkEnd w:id="124"/>
      <w:r>
        <w:t>人活动区内未标示出风速</w:t>
      </w:r>
      <w:r>
        <w:rPr>
          <w:color w:val="0000FF"/>
        </w:rPr>
        <w:t>小于</w:t>
      </w:r>
      <w:r>
        <w:t>0.2m/s的超限区域，因此人活动区风速</w:t>
      </w:r>
      <w:r>
        <w:rPr>
          <w:color w:val="0000FF"/>
        </w:rPr>
        <w:t>满足</w:t>
      </w:r>
      <w:r>
        <w:t>绿标要求，项目可采用现有建筑布局。</w:t>
      </w:r>
    </w:p>
    <w:p>
      <w:pPr>
        <w:pStyle w:val="3"/>
        <w:spacing w:after="156" w:afterLines="50"/>
        <w:ind w:firstLine="0" w:firstLineChars="0"/>
        <w:jc w:val="center"/>
      </w:pPr>
      <w:bookmarkStart w:id="125" w:name="人行区风速云图"/>
      <w:bookmarkEnd w:id="125"/>
      <w:r>
        <w:drawing>
          <wp:inline distT="0" distB="0" distL="0" distR="0">
            <wp:extent cx="5667375" cy="37052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705225"/>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pPr>
        <w:pStyle w:val="3"/>
        <w:ind w:firstLine="420"/>
      </w:pPr>
    </w:p>
    <w:p>
      <w:pPr>
        <w:pStyle w:val="5"/>
      </w:pPr>
      <w:bookmarkStart w:id="126" w:name="_Toc509844761"/>
      <w:bookmarkStart w:id="127" w:name="_Toc1969"/>
      <w:r>
        <w:rPr>
          <w:rFonts w:hint="eastAsia"/>
        </w:rPr>
        <w:t>旋涡区分析</w:t>
      </w:r>
      <w:bookmarkEnd w:id="126"/>
      <w:bookmarkEnd w:id="127"/>
    </w:p>
    <w:p>
      <w:pPr>
        <w:pStyle w:val="3"/>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firstLineChars="0"/>
        <w:jc w:val="center"/>
        <w:rPr>
          <w:lang w:val="en-US"/>
        </w:rPr>
      </w:pPr>
      <w:bookmarkStart w:id="128" w:name="人行区风速矢量图"/>
      <w:bookmarkEnd w:id="128"/>
      <w:r>
        <w:drawing>
          <wp:inline distT="0" distB="0" distL="0" distR="0">
            <wp:extent cx="5667375" cy="37052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70522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pPr>
        <w:pStyle w:val="3"/>
        <w:ind w:firstLine="420"/>
        <w:rPr>
          <w:lang w:val="en-US"/>
        </w:rPr>
      </w:pPr>
    </w:p>
    <w:p>
      <w:pPr>
        <w:pStyle w:val="5"/>
      </w:pPr>
      <w:bookmarkStart w:id="129" w:name="_Toc509844762"/>
      <w:bookmarkStart w:id="130" w:name="_Toc18214"/>
      <w:r>
        <w:rPr>
          <w:rFonts w:hint="eastAsia"/>
        </w:rPr>
        <w:t>旋涡区/无风区达标</w:t>
      </w:r>
      <w:bookmarkEnd w:id="129"/>
      <w:r>
        <w:rPr>
          <w:rFonts w:hint="eastAsia"/>
        </w:rPr>
        <w:t>结果汇总</w:t>
      </w:r>
      <w:bookmarkEnd w:id="130"/>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1" w:name="季节8"/>
      <w:r>
        <w:rPr>
          <w:rFonts w:hint="eastAsia" w:ascii="黑体" w:hAnsi="黑体" w:eastAsia="黑体"/>
          <w:sz w:val="20"/>
          <w:szCs w:val="20"/>
        </w:rPr>
        <w:t>夏季</w:t>
      </w:r>
      <w:bookmarkEnd w:id="131"/>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2" w:name="是否有无风区"/>
            <w:r>
              <w:rPr>
                <w:rFonts w:hint="eastAsia" w:ascii="宋体" w:hAnsi="宋体" w:cs="宋体"/>
                <w:color w:val="000000"/>
                <w:sz w:val="22"/>
                <w:szCs w:val="22"/>
                <w:lang w:val="en-US"/>
              </w:rPr>
              <w:t>否</w:t>
            </w:r>
            <w:bookmarkEnd w:id="132"/>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3" w:name="无风区达标判断"/>
            <w:r>
              <w:rPr>
                <w:rFonts w:hint="eastAsia" w:ascii="宋体" w:hAnsi="宋体" w:cs="宋体"/>
                <w:color w:val="000000"/>
                <w:sz w:val="22"/>
                <w:szCs w:val="22"/>
                <w:lang w:val="en-US"/>
              </w:rPr>
              <w:t>是</w:t>
            </w:r>
            <w:bookmarkEnd w:id="133"/>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4" w:name="是否有旋涡区"/>
            <w:r>
              <w:rPr>
                <w:rFonts w:ascii="宋体" w:hAnsi="宋体" w:cs="宋体"/>
                <w:color w:val="000000"/>
                <w:sz w:val="22"/>
                <w:szCs w:val="22"/>
                <w:lang w:val="en-US"/>
              </w:rPr>
              <w:t>否</w:t>
            </w:r>
            <w:bookmarkEnd w:id="134"/>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5" w:name="旋涡区达标判断"/>
            <w:r>
              <w:rPr>
                <w:rFonts w:ascii="宋体" w:hAnsi="宋体" w:cs="宋体"/>
                <w:color w:val="000000"/>
                <w:sz w:val="22"/>
                <w:szCs w:val="22"/>
                <w:lang w:val="en-US"/>
              </w:rPr>
              <w:t>是</w:t>
            </w:r>
            <w:bookmarkEnd w:id="135"/>
          </w:p>
        </w:tc>
      </w:tr>
    </w:tbl>
    <w:p>
      <w:pPr>
        <w:pStyle w:val="5"/>
      </w:pPr>
      <w:bookmarkStart w:id="136" w:name="_Toc504501018"/>
      <w:bookmarkStart w:id="137" w:name="_Toc509844763"/>
      <w:bookmarkStart w:id="138" w:name="_Toc29175"/>
      <w:r>
        <w:rPr>
          <w:rFonts w:hint="eastAsia"/>
        </w:rPr>
        <w:t>外窗内外表面风压</w:t>
      </w:r>
      <w:bookmarkEnd w:id="136"/>
      <w:r>
        <w:rPr>
          <w:rFonts w:hint="eastAsia"/>
        </w:rPr>
        <w:t>差达标分析</w:t>
      </w:r>
      <w:bookmarkEnd w:id="137"/>
      <w:bookmarkEnd w:id="138"/>
    </w:p>
    <w:p>
      <w:pPr>
        <w:pStyle w:val="3"/>
        <w:ind w:firstLine="420"/>
      </w:pPr>
      <w:r>
        <w:rPr>
          <w:rFonts w:hint="eastAsia"/>
          <w:lang w:val="en-US"/>
        </w:rPr>
        <w:t>分析《绿色建筑评价标准》，</w:t>
      </w:r>
      <w:bookmarkStart w:id="139" w:name="季节9"/>
      <w:r>
        <w:rPr>
          <w:rFonts w:hint="eastAsia"/>
          <w:lang w:val="en-US"/>
        </w:rPr>
        <w:t>夏季</w:t>
      </w:r>
      <w:bookmarkEnd w:id="139"/>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40" w:name="迎风面风压云图"/>
      <w:bookmarkEnd w:id="140"/>
      <w:r>
        <w:drawing>
          <wp:inline distT="0" distB="0" distL="0" distR="0">
            <wp:extent cx="5667375" cy="3667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1"/>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1" w:name="季节10"/>
      <w:r>
        <w:rPr>
          <w:rFonts w:hint="eastAsia" w:ascii="黑体" w:hAnsi="黑体" w:eastAsia="黑体"/>
          <w:sz w:val="20"/>
          <w:szCs w:val="20"/>
        </w:rPr>
        <w:t>夏季</w:t>
      </w:r>
      <w:bookmarkEnd w:id="141"/>
    </w:p>
    <w:p>
      <w:pPr>
        <w:jc w:val="center"/>
      </w:pPr>
      <w:bookmarkStart w:id="142" w:name="背风面风压云图"/>
      <w:bookmarkEnd w:id="142"/>
      <w:r>
        <w:drawing>
          <wp:inline distT="0" distB="0" distL="0" distR="0">
            <wp:extent cx="5667375" cy="3676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2"/>
                    <a:stretch>
                      <a:fillRect/>
                    </a:stretch>
                  </pic:blipFill>
                  <pic:spPr>
                    <a:xfrm>
                      <a:off x="0" y="0"/>
                      <a:ext cx="5667375" cy="36766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3" w:name="季节11"/>
      <w:r>
        <w:rPr>
          <w:rFonts w:hint="eastAsia" w:ascii="黑体" w:hAnsi="黑体" w:eastAsia="黑体"/>
          <w:sz w:val="20"/>
          <w:szCs w:val="20"/>
        </w:rPr>
        <w:t>夏季</w:t>
      </w:r>
      <w:bookmarkEnd w:id="143"/>
      <w:r>
        <w:rPr>
          <w:rFonts w:hint="eastAsia"/>
        </w:rPr>
        <w:t xml:space="preserve"> </w:t>
      </w:r>
    </w:p>
    <w:p>
      <w:r>
        <w:rPr>
          <w:rFonts w:hint="eastAsia"/>
        </w:rPr>
        <w:t>下表为依据上图提取的外窗外表面平均风压数据，相当于外窗室内外表面风压差数据，并依据标准做出达标判断：</w:t>
      </w:r>
    </w:p>
    <w:p>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bookmarkStart w:id="144" w:name="建筑外窗室内外风压差达标判定"/>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单体</w:t>
            </w:r>
          </w:p>
        </w:tc>
        <w:tc>
          <w:tcPr>
            <w:tcW w:w="1134" w:type="dxa"/>
            <w:shd w:val="clear" w:color="auto" w:fill="auto"/>
            <w:vAlign w:val="center"/>
          </w:tcPr>
          <w:p>
            <w:pPr>
              <w:jc w:val="center"/>
              <w:rPr>
                <w:lang w:val="en-US"/>
              </w:rPr>
            </w:pPr>
            <w:r>
              <w:rPr>
                <w:lang w:val="en-US"/>
              </w:rPr>
              <w:t>166</w:t>
            </w:r>
          </w:p>
        </w:tc>
        <w:tc>
          <w:tcPr>
            <w:tcW w:w="1984" w:type="dxa"/>
            <w:shd w:val="clear" w:color="auto" w:fill="auto"/>
            <w:vAlign w:val="center"/>
          </w:tcPr>
          <w:p>
            <w:pPr>
              <w:jc w:val="center"/>
              <w:rPr>
                <w:lang w:val="en-US"/>
              </w:rPr>
            </w:pPr>
            <w:r>
              <w:rPr>
                <w:lang w:val="en-US"/>
              </w:rPr>
              <w:t>149</w:t>
            </w:r>
          </w:p>
        </w:tc>
        <w:tc>
          <w:tcPr>
            <w:tcW w:w="1116" w:type="dxa"/>
            <w:shd w:val="clear" w:color="auto" w:fill="auto"/>
            <w:vAlign w:val="center"/>
          </w:tcPr>
          <w:p>
            <w:pPr>
              <w:jc w:val="center"/>
              <w:rPr>
                <w:lang w:val="en-US"/>
              </w:rPr>
            </w:pPr>
            <w:r>
              <w:rPr>
                <w:lang w:val="en-US"/>
              </w:rPr>
              <w:t>89.76</w:t>
            </w:r>
          </w:p>
        </w:tc>
        <w:tc>
          <w:tcPr>
            <w:tcW w:w="708" w:type="dxa"/>
            <w:shd w:val="clear" w:color="auto" w:fill="auto"/>
            <w:vAlign w:val="center"/>
          </w:tcPr>
          <w:p>
            <w:pPr>
              <w:jc w:val="center"/>
              <w:rPr>
                <w:lang w:val="en-US"/>
              </w:rPr>
            </w:pPr>
            <w:r>
              <w:rPr>
                <w:lang w:val="en-US"/>
              </w:rPr>
              <w:t>是</w:t>
            </w:r>
          </w:p>
        </w:tc>
      </w:tr>
      <w:bookmarkEnd w:id="144"/>
    </w:tbl>
    <w:p>
      <w:r>
        <w:rPr>
          <w:rFonts w:hint="eastAsia"/>
          <w:lang w:val="en-US"/>
        </w:rPr>
        <w:t>说明：达标比例＝（室内外风压差大于0.5Pa的总数/可开启外窗总数）*100％</w:t>
      </w:r>
    </w:p>
    <w:p>
      <w:pPr>
        <w:rPr>
          <w:lang w:val="en-US"/>
        </w:rPr>
      </w:pPr>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bookmarkStart w:id="145" w:name="建筑室内外风压差达标判定"/>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w:t>
            </w:r>
          </w:p>
        </w:tc>
        <w:tc>
          <w:tcPr>
            <w:tcW w:w="1417" w:type="dxa"/>
            <w:vAlign w:val="center"/>
          </w:tcPr>
          <w:p>
            <w:pPr>
              <w:spacing w:line="360" w:lineRule="exact"/>
              <w:jc w:val="center"/>
              <w:rPr>
                <w:lang w:val="en-US"/>
              </w:rPr>
            </w:pPr>
            <w:r>
              <w:rPr>
                <w:lang w:val="en-US"/>
              </w:rPr>
              <w:t>17394.20</w:t>
            </w:r>
          </w:p>
        </w:tc>
        <w:tc>
          <w:tcPr>
            <w:tcW w:w="2552" w:type="dxa"/>
            <w:vAlign w:val="center"/>
          </w:tcPr>
          <w:p>
            <w:pPr>
              <w:spacing w:line="360" w:lineRule="exact"/>
              <w:jc w:val="center"/>
              <w:rPr>
                <w:lang w:val="en-US"/>
              </w:rPr>
            </w:pPr>
            <w:r>
              <w:rPr>
                <w:lang w:val="en-US"/>
              </w:rPr>
              <w:t>16292.90</w:t>
            </w:r>
          </w:p>
        </w:tc>
        <w:tc>
          <w:tcPr>
            <w:tcW w:w="1134" w:type="dxa"/>
            <w:vAlign w:val="center"/>
          </w:tcPr>
          <w:p>
            <w:pPr>
              <w:spacing w:line="360" w:lineRule="exact"/>
              <w:jc w:val="center"/>
              <w:rPr>
                <w:lang w:val="en-US"/>
              </w:rPr>
            </w:pPr>
            <w:r>
              <w:rPr>
                <w:lang w:val="en-US"/>
              </w:rPr>
              <w:t>93.67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1001</w:t>
            </w:r>
          </w:p>
        </w:tc>
        <w:tc>
          <w:tcPr>
            <w:tcW w:w="1417" w:type="dxa"/>
            <w:vAlign w:val="center"/>
          </w:tcPr>
          <w:p>
            <w:pPr>
              <w:spacing w:line="360" w:lineRule="exact"/>
              <w:jc w:val="center"/>
              <w:rPr>
                <w:lang w:val="en-US"/>
              </w:rPr>
            </w:pPr>
            <w:r>
              <w:rPr>
                <w:lang w:val="en-US"/>
              </w:rPr>
              <w:t>523.69</w:t>
            </w:r>
          </w:p>
        </w:tc>
        <w:tc>
          <w:tcPr>
            <w:tcW w:w="2552" w:type="dxa"/>
            <w:vAlign w:val="center"/>
          </w:tcPr>
          <w:p>
            <w:pPr>
              <w:spacing w:line="360" w:lineRule="exact"/>
              <w:jc w:val="center"/>
              <w:rPr>
                <w:lang w:val="en-US"/>
              </w:rPr>
            </w:pPr>
            <w:r>
              <w:rPr>
                <w:lang w:val="en-US"/>
              </w:rPr>
              <w:t>523.69</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1002</w:t>
            </w:r>
          </w:p>
        </w:tc>
        <w:tc>
          <w:tcPr>
            <w:tcW w:w="1417" w:type="dxa"/>
            <w:vAlign w:val="center"/>
          </w:tcPr>
          <w:p>
            <w:pPr>
              <w:spacing w:line="360" w:lineRule="exact"/>
              <w:jc w:val="center"/>
              <w:rPr>
                <w:lang w:val="en-US"/>
              </w:rPr>
            </w:pPr>
            <w:r>
              <w:rPr>
                <w:lang w:val="en-US"/>
              </w:rPr>
              <w:t>597.50</w:t>
            </w:r>
          </w:p>
        </w:tc>
        <w:tc>
          <w:tcPr>
            <w:tcW w:w="2552" w:type="dxa"/>
            <w:vAlign w:val="center"/>
          </w:tcPr>
          <w:p>
            <w:pPr>
              <w:spacing w:line="360" w:lineRule="exact"/>
              <w:jc w:val="center"/>
              <w:rPr>
                <w:lang w:val="en-US"/>
              </w:rPr>
            </w:pPr>
            <w:r>
              <w:rPr>
                <w:lang w:val="en-US"/>
              </w:rPr>
              <w:t>506.15</w:t>
            </w:r>
          </w:p>
        </w:tc>
        <w:tc>
          <w:tcPr>
            <w:tcW w:w="1134" w:type="dxa"/>
            <w:vAlign w:val="center"/>
          </w:tcPr>
          <w:p>
            <w:pPr>
              <w:spacing w:line="360" w:lineRule="exact"/>
              <w:jc w:val="center"/>
              <w:rPr>
                <w:lang w:val="en-US"/>
              </w:rPr>
            </w:pPr>
            <w:r>
              <w:rPr>
                <w:lang w:val="en-US"/>
              </w:rPr>
              <w:t>84.71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1003</w:t>
            </w:r>
          </w:p>
        </w:tc>
        <w:tc>
          <w:tcPr>
            <w:tcW w:w="1417" w:type="dxa"/>
            <w:vAlign w:val="center"/>
          </w:tcPr>
          <w:p>
            <w:pPr>
              <w:spacing w:line="360" w:lineRule="exact"/>
              <w:jc w:val="center"/>
              <w:rPr>
                <w:lang w:val="en-US"/>
              </w:rPr>
            </w:pPr>
            <w:r>
              <w:rPr>
                <w:lang w:val="en-US"/>
              </w:rPr>
              <w:t>840.76</w:t>
            </w:r>
          </w:p>
        </w:tc>
        <w:tc>
          <w:tcPr>
            <w:tcW w:w="2552" w:type="dxa"/>
            <w:vAlign w:val="center"/>
          </w:tcPr>
          <w:p>
            <w:pPr>
              <w:spacing w:line="360" w:lineRule="exact"/>
              <w:jc w:val="center"/>
              <w:rPr>
                <w:lang w:val="en-US"/>
              </w:rPr>
            </w:pPr>
            <w:r>
              <w:rPr>
                <w:lang w:val="en-US"/>
              </w:rPr>
              <w:t>840.76</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1004</w:t>
            </w:r>
          </w:p>
        </w:tc>
        <w:tc>
          <w:tcPr>
            <w:tcW w:w="1417" w:type="dxa"/>
            <w:vAlign w:val="center"/>
          </w:tcPr>
          <w:p>
            <w:pPr>
              <w:spacing w:line="360" w:lineRule="exact"/>
              <w:jc w:val="center"/>
              <w:rPr>
                <w:lang w:val="en-US"/>
              </w:rPr>
            </w:pPr>
            <w:r>
              <w:rPr>
                <w:lang w:val="en-US"/>
              </w:rPr>
              <w:t>458.92</w:t>
            </w:r>
          </w:p>
        </w:tc>
        <w:tc>
          <w:tcPr>
            <w:tcW w:w="2552" w:type="dxa"/>
            <w:vAlign w:val="center"/>
          </w:tcPr>
          <w:p>
            <w:pPr>
              <w:spacing w:line="360" w:lineRule="exact"/>
              <w:jc w:val="center"/>
              <w:rPr>
                <w:lang w:val="en-US"/>
              </w:rPr>
            </w:pPr>
            <w:r>
              <w:rPr>
                <w:lang w:val="en-US"/>
              </w:rPr>
              <w:t>455.91</w:t>
            </w:r>
          </w:p>
        </w:tc>
        <w:tc>
          <w:tcPr>
            <w:tcW w:w="1134" w:type="dxa"/>
            <w:vAlign w:val="center"/>
          </w:tcPr>
          <w:p>
            <w:pPr>
              <w:spacing w:line="360" w:lineRule="exact"/>
              <w:jc w:val="center"/>
              <w:rPr>
                <w:lang w:val="en-US"/>
              </w:rPr>
            </w:pPr>
            <w:r>
              <w:rPr>
                <w:lang w:val="en-US"/>
              </w:rPr>
              <w:t>99.34</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1005</w:t>
            </w:r>
          </w:p>
        </w:tc>
        <w:tc>
          <w:tcPr>
            <w:tcW w:w="1417" w:type="dxa"/>
            <w:vAlign w:val="center"/>
          </w:tcPr>
          <w:p>
            <w:pPr>
              <w:spacing w:line="360" w:lineRule="exact"/>
              <w:jc w:val="center"/>
              <w:rPr>
                <w:lang w:val="en-US"/>
              </w:rPr>
            </w:pPr>
            <w:r>
              <w:rPr>
                <w:lang w:val="en-US"/>
              </w:rPr>
              <w:t>2731.40</w:t>
            </w:r>
          </w:p>
        </w:tc>
        <w:tc>
          <w:tcPr>
            <w:tcW w:w="2552" w:type="dxa"/>
            <w:vAlign w:val="center"/>
          </w:tcPr>
          <w:p>
            <w:pPr>
              <w:spacing w:line="360" w:lineRule="exact"/>
              <w:jc w:val="center"/>
              <w:rPr>
                <w:lang w:val="en-US"/>
              </w:rPr>
            </w:pPr>
            <w:r>
              <w:rPr>
                <w:lang w:val="en-US"/>
              </w:rPr>
              <w:t>2539.98</w:t>
            </w:r>
          </w:p>
        </w:tc>
        <w:tc>
          <w:tcPr>
            <w:tcW w:w="1134" w:type="dxa"/>
            <w:vAlign w:val="center"/>
          </w:tcPr>
          <w:p>
            <w:pPr>
              <w:spacing w:line="360" w:lineRule="exact"/>
              <w:jc w:val="center"/>
              <w:rPr>
                <w:lang w:val="en-US"/>
              </w:rPr>
            </w:pPr>
            <w:r>
              <w:rPr>
                <w:lang w:val="en-US"/>
              </w:rPr>
              <w:t>92.99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1006</w:t>
            </w:r>
          </w:p>
        </w:tc>
        <w:tc>
          <w:tcPr>
            <w:tcW w:w="1417" w:type="dxa"/>
            <w:vAlign w:val="center"/>
          </w:tcPr>
          <w:p>
            <w:pPr>
              <w:spacing w:line="360" w:lineRule="exact"/>
              <w:jc w:val="center"/>
              <w:rPr>
                <w:lang w:val="en-US"/>
              </w:rPr>
            </w:pPr>
            <w:r>
              <w:rPr>
                <w:lang w:val="en-US"/>
              </w:rPr>
              <w:t>612.16</w:t>
            </w:r>
          </w:p>
        </w:tc>
        <w:tc>
          <w:tcPr>
            <w:tcW w:w="2552" w:type="dxa"/>
            <w:vAlign w:val="center"/>
          </w:tcPr>
          <w:p>
            <w:pPr>
              <w:spacing w:line="360" w:lineRule="exact"/>
              <w:jc w:val="center"/>
              <w:rPr>
                <w:lang w:val="en-US"/>
              </w:rPr>
            </w:pPr>
            <w:r>
              <w:rPr>
                <w:lang w:val="en-US"/>
              </w:rPr>
              <w:t>459.29</w:t>
            </w:r>
          </w:p>
        </w:tc>
        <w:tc>
          <w:tcPr>
            <w:tcW w:w="1134" w:type="dxa"/>
            <w:vAlign w:val="center"/>
          </w:tcPr>
          <w:p>
            <w:pPr>
              <w:spacing w:line="360" w:lineRule="exact"/>
              <w:jc w:val="center"/>
              <w:rPr>
                <w:lang w:val="en-US"/>
              </w:rPr>
            </w:pPr>
            <w:r>
              <w:rPr>
                <w:lang w:val="en-US"/>
              </w:rPr>
              <w:t>75.03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1007</w:t>
            </w:r>
          </w:p>
        </w:tc>
        <w:tc>
          <w:tcPr>
            <w:tcW w:w="1417" w:type="dxa"/>
            <w:vAlign w:val="center"/>
          </w:tcPr>
          <w:p>
            <w:pPr>
              <w:spacing w:line="360" w:lineRule="exact"/>
              <w:jc w:val="center"/>
              <w:rPr>
                <w:lang w:val="en-US"/>
              </w:rPr>
            </w:pPr>
            <w:r>
              <w:rPr>
                <w:lang w:val="en-US"/>
              </w:rPr>
              <w:t>366.94</w:t>
            </w:r>
          </w:p>
        </w:tc>
        <w:tc>
          <w:tcPr>
            <w:tcW w:w="2552" w:type="dxa"/>
            <w:vAlign w:val="center"/>
          </w:tcPr>
          <w:p>
            <w:pPr>
              <w:spacing w:line="360" w:lineRule="exact"/>
              <w:jc w:val="center"/>
              <w:rPr>
                <w:lang w:val="en-US"/>
              </w:rPr>
            </w:pPr>
            <w:r>
              <w:rPr>
                <w:lang w:val="en-US"/>
              </w:rPr>
              <w:t>366.94</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1008</w:t>
            </w:r>
          </w:p>
        </w:tc>
        <w:tc>
          <w:tcPr>
            <w:tcW w:w="1417" w:type="dxa"/>
            <w:vAlign w:val="center"/>
          </w:tcPr>
          <w:p>
            <w:pPr>
              <w:spacing w:line="360" w:lineRule="exact"/>
              <w:jc w:val="center"/>
              <w:rPr>
                <w:lang w:val="en-US"/>
              </w:rPr>
            </w:pPr>
            <w:r>
              <w:rPr>
                <w:lang w:val="en-US"/>
              </w:rPr>
              <w:t>916.12</w:t>
            </w:r>
          </w:p>
        </w:tc>
        <w:tc>
          <w:tcPr>
            <w:tcW w:w="2552" w:type="dxa"/>
            <w:vAlign w:val="center"/>
          </w:tcPr>
          <w:p>
            <w:pPr>
              <w:spacing w:line="360" w:lineRule="exact"/>
              <w:jc w:val="center"/>
              <w:rPr>
                <w:lang w:val="en-US"/>
              </w:rPr>
            </w:pPr>
            <w:r>
              <w:rPr>
                <w:lang w:val="en-US"/>
              </w:rPr>
              <w:t>916.12</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1009</w:t>
            </w:r>
          </w:p>
        </w:tc>
        <w:tc>
          <w:tcPr>
            <w:tcW w:w="1417" w:type="dxa"/>
            <w:vAlign w:val="center"/>
          </w:tcPr>
          <w:p>
            <w:pPr>
              <w:spacing w:line="360" w:lineRule="exact"/>
              <w:jc w:val="center"/>
              <w:rPr>
                <w:lang w:val="en-US"/>
              </w:rPr>
            </w:pPr>
            <w:r>
              <w:rPr>
                <w:lang w:val="en-US"/>
              </w:rPr>
              <w:t>898.79</w:t>
            </w:r>
          </w:p>
        </w:tc>
        <w:tc>
          <w:tcPr>
            <w:tcW w:w="2552" w:type="dxa"/>
            <w:vAlign w:val="center"/>
          </w:tcPr>
          <w:p>
            <w:pPr>
              <w:spacing w:line="360" w:lineRule="exact"/>
              <w:jc w:val="center"/>
              <w:rPr>
                <w:lang w:val="en-US"/>
              </w:rPr>
            </w:pPr>
            <w:r>
              <w:rPr>
                <w:lang w:val="en-US"/>
              </w:rPr>
              <w:t>898.79</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1010</w:t>
            </w:r>
          </w:p>
        </w:tc>
        <w:tc>
          <w:tcPr>
            <w:tcW w:w="1417" w:type="dxa"/>
            <w:vAlign w:val="center"/>
          </w:tcPr>
          <w:p>
            <w:pPr>
              <w:spacing w:line="360" w:lineRule="exact"/>
              <w:jc w:val="center"/>
              <w:rPr>
                <w:lang w:val="en-US"/>
              </w:rPr>
            </w:pPr>
            <w:r>
              <w:rPr>
                <w:lang w:val="en-US"/>
              </w:rPr>
              <w:t>916.13</w:t>
            </w:r>
          </w:p>
        </w:tc>
        <w:tc>
          <w:tcPr>
            <w:tcW w:w="2552" w:type="dxa"/>
            <w:vAlign w:val="center"/>
          </w:tcPr>
          <w:p>
            <w:pPr>
              <w:spacing w:line="360" w:lineRule="exact"/>
              <w:jc w:val="center"/>
              <w:rPr>
                <w:lang w:val="en-US"/>
              </w:rPr>
            </w:pPr>
            <w:r>
              <w:rPr>
                <w:lang w:val="en-US"/>
              </w:rPr>
              <w:t>879.36</w:t>
            </w:r>
          </w:p>
        </w:tc>
        <w:tc>
          <w:tcPr>
            <w:tcW w:w="1134" w:type="dxa"/>
            <w:vAlign w:val="center"/>
          </w:tcPr>
          <w:p>
            <w:pPr>
              <w:spacing w:line="360" w:lineRule="exact"/>
              <w:jc w:val="center"/>
              <w:rPr>
                <w:lang w:val="en-US"/>
              </w:rPr>
            </w:pPr>
            <w:r>
              <w:rPr>
                <w:lang w:val="en-US"/>
              </w:rPr>
              <w:t>95.99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1011</w:t>
            </w:r>
          </w:p>
        </w:tc>
        <w:tc>
          <w:tcPr>
            <w:tcW w:w="1417" w:type="dxa"/>
            <w:vAlign w:val="center"/>
          </w:tcPr>
          <w:p>
            <w:pPr>
              <w:spacing w:line="360" w:lineRule="exact"/>
              <w:jc w:val="center"/>
              <w:rPr>
                <w:lang w:val="en-US"/>
              </w:rPr>
            </w:pPr>
            <w:r>
              <w:rPr>
                <w:lang w:val="en-US"/>
              </w:rPr>
              <w:t>995.30</w:t>
            </w:r>
          </w:p>
        </w:tc>
        <w:tc>
          <w:tcPr>
            <w:tcW w:w="2552" w:type="dxa"/>
            <w:vAlign w:val="center"/>
          </w:tcPr>
          <w:p>
            <w:pPr>
              <w:spacing w:line="360" w:lineRule="exact"/>
              <w:jc w:val="center"/>
              <w:rPr>
                <w:lang w:val="en-US"/>
              </w:rPr>
            </w:pPr>
            <w:r>
              <w:rPr>
                <w:lang w:val="en-US"/>
              </w:rPr>
              <w:t>960.12</w:t>
            </w:r>
          </w:p>
        </w:tc>
        <w:tc>
          <w:tcPr>
            <w:tcW w:w="1134" w:type="dxa"/>
            <w:vAlign w:val="center"/>
          </w:tcPr>
          <w:p>
            <w:pPr>
              <w:spacing w:line="360" w:lineRule="exact"/>
              <w:jc w:val="center"/>
              <w:rPr>
                <w:lang w:val="en-US"/>
              </w:rPr>
            </w:pPr>
            <w:r>
              <w:rPr>
                <w:lang w:val="en-US"/>
              </w:rPr>
              <w:t>96.47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1013</w:t>
            </w:r>
          </w:p>
        </w:tc>
        <w:tc>
          <w:tcPr>
            <w:tcW w:w="1417" w:type="dxa"/>
            <w:vAlign w:val="center"/>
          </w:tcPr>
          <w:p>
            <w:pPr>
              <w:spacing w:line="360" w:lineRule="exact"/>
              <w:jc w:val="center"/>
              <w:rPr>
                <w:lang w:val="en-US"/>
              </w:rPr>
            </w:pPr>
            <w:r>
              <w:rPr>
                <w:lang w:val="en-US"/>
              </w:rPr>
              <w:t>471.98</w:t>
            </w:r>
          </w:p>
        </w:tc>
        <w:tc>
          <w:tcPr>
            <w:tcW w:w="2552" w:type="dxa"/>
            <w:vAlign w:val="center"/>
          </w:tcPr>
          <w:p>
            <w:pPr>
              <w:spacing w:line="360" w:lineRule="exact"/>
              <w:jc w:val="center"/>
              <w:rPr>
                <w:lang w:val="en-US"/>
              </w:rPr>
            </w:pPr>
            <w:r>
              <w:rPr>
                <w:lang w:val="en-US"/>
              </w:rPr>
              <w:t>471.98</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1014</w:t>
            </w:r>
          </w:p>
        </w:tc>
        <w:tc>
          <w:tcPr>
            <w:tcW w:w="1417" w:type="dxa"/>
            <w:vAlign w:val="center"/>
          </w:tcPr>
          <w:p>
            <w:pPr>
              <w:spacing w:line="360" w:lineRule="exact"/>
              <w:jc w:val="center"/>
              <w:rPr>
                <w:lang w:val="en-US"/>
              </w:rPr>
            </w:pPr>
            <w:r>
              <w:rPr>
                <w:lang w:val="en-US"/>
              </w:rPr>
              <w:t>516.89</w:t>
            </w:r>
          </w:p>
        </w:tc>
        <w:tc>
          <w:tcPr>
            <w:tcW w:w="2552" w:type="dxa"/>
            <w:vAlign w:val="center"/>
          </w:tcPr>
          <w:p>
            <w:pPr>
              <w:spacing w:line="360" w:lineRule="exact"/>
              <w:jc w:val="center"/>
              <w:rPr>
                <w:lang w:val="en-US"/>
              </w:rPr>
            </w:pPr>
            <w:r>
              <w:rPr>
                <w:lang w:val="en-US"/>
              </w:rPr>
              <w:t>478.61</w:t>
            </w:r>
          </w:p>
        </w:tc>
        <w:tc>
          <w:tcPr>
            <w:tcW w:w="1134" w:type="dxa"/>
            <w:vAlign w:val="center"/>
          </w:tcPr>
          <w:p>
            <w:pPr>
              <w:spacing w:line="360" w:lineRule="exact"/>
              <w:jc w:val="center"/>
              <w:rPr>
                <w:lang w:val="en-US"/>
              </w:rPr>
            </w:pPr>
            <w:r>
              <w:rPr>
                <w:lang w:val="en-US"/>
              </w:rPr>
              <w:t>92.59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1015</w:t>
            </w:r>
          </w:p>
        </w:tc>
        <w:tc>
          <w:tcPr>
            <w:tcW w:w="1417" w:type="dxa"/>
            <w:vAlign w:val="center"/>
          </w:tcPr>
          <w:p>
            <w:pPr>
              <w:spacing w:line="360" w:lineRule="exact"/>
              <w:jc w:val="center"/>
              <w:rPr>
                <w:lang w:val="en-US"/>
              </w:rPr>
            </w:pPr>
            <w:r>
              <w:rPr>
                <w:lang w:val="en-US"/>
              </w:rPr>
              <w:t>985.17</w:t>
            </w:r>
          </w:p>
        </w:tc>
        <w:tc>
          <w:tcPr>
            <w:tcW w:w="2552" w:type="dxa"/>
            <w:vAlign w:val="center"/>
          </w:tcPr>
          <w:p>
            <w:pPr>
              <w:spacing w:line="360" w:lineRule="exact"/>
              <w:jc w:val="center"/>
              <w:rPr>
                <w:lang w:val="en-US"/>
              </w:rPr>
            </w:pPr>
            <w:r>
              <w:rPr>
                <w:lang w:val="en-US"/>
              </w:rPr>
              <w:t>908.41</w:t>
            </w:r>
          </w:p>
        </w:tc>
        <w:tc>
          <w:tcPr>
            <w:tcW w:w="1134" w:type="dxa"/>
            <w:vAlign w:val="center"/>
          </w:tcPr>
          <w:p>
            <w:pPr>
              <w:spacing w:line="360" w:lineRule="exact"/>
              <w:jc w:val="center"/>
              <w:rPr>
                <w:lang w:val="en-US"/>
              </w:rPr>
            </w:pPr>
            <w:r>
              <w:rPr>
                <w:lang w:val="en-US"/>
              </w:rPr>
              <w:t>92.21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1016</w:t>
            </w:r>
          </w:p>
        </w:tc>
        <w:tc>
          <w:tcPr>
            <w:tcW w:w="1417" w:type="dxa"/>
            <w:vAlign w:val="center"/>
          </w:tcPr>
          <w:p>
            <w:pPr>
              <w:spacing w:line="360" w:lineRule="exact"/>
              <w:jc w:val="center"/>
              <w:rPr>
                <w:lang w:val="en-US"/>
              </w:rPr>
            </w:pPr>
            <w:r>
              <w:rPr>
                <w:lang w:val="en-US"/>
              </w:rPr>
              <w:t>916.85</w:t>
            </w:r>
          </w:p>
        </w:tc>
        <w:tc>
          <w:tcPr>
            <w:tcW w:w="2552" w:type="dxa"/>
            <w:vAlign w:val="center"/>
          </w:tcPr>
          <w:p>
            <w:pPr>
              <w:spacing w:line="360" w:lineRule="exact"/>
              <w:jc w:val="center"/>
              <w:rPr>
                <w:lang w:val="en-US"/>
              </w:rPr>
            </w:pPr>
            <w:r>
              <w:rPr>
                <w:lang w:val="en-US"/>
              </w:rPr>
              <w:t>916.85</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1017</w:t>
            </w:r>
          </w:p>
        </w:tc>
        <w:tc>
          <w:tcPr>
            <w:tcW w:w="1417" w:type="dxa"/>
            <w:vAlign w:val="center"/>
          </w:tcPr>
          <w:p>
            <w:pPr>
              <w:spacing w:line="360" w:lineRule="exact"/>
              <w:jc w:val="center"/>
              <w:rPr>
                <w:lang w:val="en-US"/>
              </w:rPr>
            </w:pPr>
            <w:r>
              <w:rPr>
                <w:lang w:val="en-US"/>
              </w:rPr>
              <w:t>2027.98</w:t>
            </w:r>
          </w:p>
        </w:tc>
        <w:tc>
          <w:tcPr>
            <w:tcW w:w="2552" w:type="dxa"/>
            <w:vAlign w:val="center"/>
          </w:tcPr>
          <w:p>
            <w:pPr>
              <w:spacing w:line="360" w:lineRule="exact"/>
              <w:jc w:val="center"/>
              <w:rPr>
                <w:lang w:val="en-US"/>
              </w:rPr>
            </w:pPr>
            <w:r>
              <w:rPr>
                <w:lang w:val="en-US"/>
              </w:rPr>
              <w:t>2027.98</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w:t>
            </w:r>
          </w:p>
        </w:tc>
        <w:tc>
          <w:tcPr>
            <w:tcW w:w="1417" w:type="dxa"/>
            <w:vAlign w:val="center"/>
          </w:tcPr>
          <w:p>
            <w:pPr>
              <w:spacing w:line="360" w:lineRule="exact"/>
              <w:jc w:val="center"/>
              <w:rPr>
                <w:lang w:val="en-US"/>
              </w:rPr>
            </w:pPr>
            <w:r>
              <w:rPr>
                <w:lang w:val="en-US"/>
              </w:rPr>
              <w:t>14446.10</w:t>
            </w:r>
          </w:p>
        </w:tc>
        <w:tc>
          <w:tcPr>
            <w:tcW w:w="2552" w:type="dxa"/>
            <w:vAlign w:val="center"/>
          </w:tcPr>
          <w:p>
            <w:pPr>
              <w:spacing w:line="360" w:lineRule="exact"/>
              <w:jc w:val="center"/>
              <w:rPr>
                <w:lang w:val="en-US"/>
              </w:rPr>
            </w:pPr>
            <w:r>
              <w:rPr>
                <w:lang w:val="en-US"/>
              </w:rPr>
              <w:t>13430.80</w:t>
            </w:r>
          </w:p>
        </w:tc>
        <w:tc>
          <w:tcPr>
            <w:tcW w:w="1134" w:type="dxa"/>
            <w:vAlign w:val="center"/>
          </w:tcPr>
          <w:p>
            <w:pPr>
              <w:spacing w:line="360" w:lineRule="exact"/>
              <w:jc w:val="center"/>
              <w:rPr>
                <w:lang w:val="en-US"/>
              </w:rPr>
            </w:pPr>
            <w:r>
              <w:rPr>
                <w:lang w:val="en-US"/>
              </w:rPr>
              <w:t>92.97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2001</w:t>
            </w:r>
          </w:p>
        </w:tc>
        <w:tc>
          <w:tcPr>
            <w:tcW w:w="1417" w:type="dxa"/>
            <w:vAlign w:val="center"/>
          </w:tcPr>
          <w:p>
            <w:pPr>
              <w:spacing w:line="360" w:lineRule="exact"/>
              <w:jc w:val="center"/>
              <w:rPr>
                <w:lang w:val="en-US"/>
              </w:rPr>
            </w:pPr>
            <w:r>
              <w:rPr>
                <w:lang w:val="en-US"/>
              </w:rPr>
              <w:t>1696.49</w:t>
            </w:r>
          </w:p>
        </w:tc>
        <w:tc>
          <w:tcPr>
            <w:tcW w:w="2552" w:type="dxa"/>
            <w:vAlign w:val="center"/>
          </w:tcPr>
          <w:p>
            <w:pPr>
              <w:spacing w:line="360" w:lineRule="exact"/>
              <w:jc w:val="center"/>
              <w:rPr>
                <w:lang w:val="en-US"/>
              </w:rPr>
            </w:pPr>
            <w:r>
              <w:rPr>
                <w:lang w:val="en-US"/>
              </w:rPr>
              <w:t>1475.39</w:t>
            </w:r>
          </w:p>
        </w:tc>
        <w:tc>
          <w:tcPr>
            <w:tcW w:w="1134" w:type="dxa"/>
            <w:vAlign w:val="center"/>
          </w:tcPr>
          <w:p>
            <w:pPr>
              <w:spacing w:line="360" w:lineRule="exact"/>
              <w:jc w:val="center"/>
              <w:rPr>
                <w:lang w:val="en-US"/>
              </w:rPr>
            </w:pPr>
            <w:r>
              <w:rPr>
                <w:lang w:val="en-US"/>
              </w:rPr>
              <w:t>86.97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2004</w:t>
            </w:r>
          </w:p>
        </w:tc>
        <w:tc>
          <w:tcPr>
            <w:tcW w:w="1417" w:type="dxa"/>
            <w:vAlign w:val="center"/>
          </w:tcPr>
          <w:p>
            <w:pPr>
              <w:spacing w:line="360" w:lineRule="exact"/>
              <w:jc w:val="center"/>
              <w:rPr>
                <w:lang w:val="en-US"/>
              </w:rPr>
            </w:pPr>
            <w:r>
              <w:rPr>
                <w:lang w:val="en-US"/>
              </w:rPr>
              <w:t>2449.09</w:t>
            </w:r>
          </w:p>
        </w:tc>
        <w:tc>
          <w:tcPr>
            <w:tcW w:w="2552" w:type="dxa"/>
            <w:vAlign w:val="center"/>
          </w:tcPr>
          <w:p>
            <w:pPr>
              <w:spacing w:line="360" w:lineRule="exact"/>
              <w:jc w:val="center"/>
              <w:rPr>
                <w:lang w:val="en-US"/>
              </w:rPr>
            </w:pPr>
            <w:r>
              <w:rPr>
                <w:lang w:val="en-US"/>
              </w:rPr>
              <w:t>2231.38</w:t>
            </w:r>
          </w:p>
        </w:tc>
        <w:tc>
          <w:tcPr>
            <w:tcW w:w="1134" w:type="dxa"/>
            <w:vAlign w:val="center"/>
          </w:tcPr>
          <w:p>
            <w:pPr>
              <w:spacing w:line="360" w:lineRule="exact"/>
              <w:jc w:val="center"/>
              <w:rPr>
                <w:lang w:val="en-US"/>
              </w:rPr>
            </w:pPr>
            <w:r>
              <w:rPr>
                <w:lang w:val="en-US"/>
              </w:rPr>
              <w:t>91.11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2005</w:t>
            </w:r>
          </w:p>
        </w:tc>
        <w:tc>
          <w:tcPr>
            <w:tcW w:w="1417" w:type="dxa"/>
            <w:vAlign w:val="center"/>
          </w:tcPr>
          <w:p>
            <w:pPr>
              <w:spacing w:line="360" w:lineRule="exact"/>
              <w:jc w:val="center"/>
              <w:rPr>
                <w:lang w:val="en-US"/>
              </w:rPr>
            </w:pPr>
            <w:r>
              <w:rPr>
                <w:lang w:val="en-US"/>
              </w:rPr>
              <w:t>5039.57</w:t>
            </w:r>
          </w:p>
        </w:tc>
        <w:tc>
          <w:tcPr>
            <w:tcW w:w="2552" w:type="dxa"/>
            <w:vAlign w:val="center"/>
          </w:tcPr>
          <w:p>
            <w:pPr>
              <w:spacing w:line="360" w:lineRule="exact"/>
              <w:jc w:val="center"/>
              <w:rPr>
                <w:lang w:val="en-US"/>
              </w:rPr>
            </w:pPr>
            <w:r>
              <w:rPr>
                <w:lang w:val="en-US"/>
              </w:rPr>
              <w:t>4671.76</w:t>
            </w:r>
          </w:p>
        </w:tc>
        <w:tc>
          <w:tcPr>
            <w:tcW w:w="1134" w:type="dxa"/>
            <w:vAlign w:val="center"/>
          </w:tcPr>
          <w:p>
            <w:pPr>
              <w:spacing w:line="360" w:lineRule="exact"/>
              <w:jc w:val="center"/>
              <w:rPr>
                <w:lang w:val="en-US"/>
              </w:rPr>
            </w:pPr>
            <w:r>
              <w:rPr>
                <w:lang w:val="en-US"/>
              </w:rPr>
              <w:t>92.70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2006</w:t>
            </w:r>
          </w:p>
        </w:tc>
        <w:tc>
          <w:tcPr>
            <w:tcW w:w="1417" w:type="dxa"/>
            <w:vAlign w:val="center"/>
          </w:tcPr>
          <w:p>
            <w:pPr>
              <w:spacing w:line="360" w:lineRule="exact"/>
              <w:jc w:val="center"/>
              <w:rPr>
                <w:lang w:val="en-US"/>
              </w:rPr>
            </w:pPr>
            <w:r>
              <w:rPr>
                <w:lang w:val="en-US"/>
              </w:rPr>
              <w:t>1218.31</w:t>
            </w:r>
          </w:p>
        </w:tc>
        <w:tc>
          <w:tcPr>
            <w:tcW w:w="2552" w:type="dxa"/>
            <w:vAlign w:val="center"/>
          </w:tcPr>
          <w:p>
            <w:pPr>
              <w:spacing w:line="360" w:lineRule="exact"/>
              <w:jc w:val="center"/>
              <w:rPr>
                <w:lang w:val="en-US"/>
              </w:rPr>
            </w:pPr>
            <w:r>
              <w:rPr>
                <w:lang w:val="en-US"/>
              </w:rPr>
              <w:t>1034.26</w:t>
            </w:r>
          </w:p>
        </w:tc>
        <w:tc>
          <w:tcPr>
            <w:tcW w:w="1134" w:type="dxa"/>
            <w:vAlign w:val="center"/>
          </w:tcPr>
          <w:p>
            <w:pPr>
              <w:spacing w:line="360" w:lineRule="exact"/>
              <w:jc w:val="center"/>
              <w:rPr>
                <w:lang w:val="en-US"/>
              </w:rPr>
            </w:pPr>
            <w:r>
              <w:rPr>
                <w:lang w:val="en-US"/>
              </w:rPr>
              <w:t>84.89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2007</w:t>
            </w:r>
          </w:p>
        </w:tc>
        <w:tc>
          <w:tcPr>
            <w:tcW w:w="1417" w:type="dxa"/>
            <w:vAlign w:val="center"/>
          </w:tcPr>
          <w:p>
            <w:pPr>
              <w:spacing w:line="360" w:lineRule="exact"/>
              <w:jc w:val="center"/>
              <w:rPr>
                <w:lang w:val="en-US"/>
              </w:rPr>
            </w:pPr>
            <w:r>
              <w:rPr>
                <w:lang w:val="en-US"/>
              </w:rPr>
              <w:t>998.83</w:t>
            </w:r>
          </w:p>
        </w:tc>
        <w:tc>
          <w:tcPr>
            <w:tcW w:w="2552" w:type="dxa"/>
            <w:vAlign w:val="center"/>
          </w:tcPr>
          <w:p>
            <w:pPr>
              <w:spacing w:line="360" w:lineRule="exact"/>
              <w:jc w:val="center"/>
              <w:rPr>
                <w:lang w:val="en-US"/>
              </w:rPr>
            </w:pPr>
            <w:r>
              <w:rPr>
                <w:lang w:val="en-US"/>
              </w:rPr>
              <w:t>879.94</w:t>
            </w:r>
          </w:p>
        </w:tc>
        <w:tc>
          <w:tcPr>
            <w:tcW w:w="1134" w:type="dxa"/>
            <w:vAlign w:val="center"/>
          </w:tcPr>
          <w:p>
            <w:pPr>
              <w:spacing w:line="360" w:lineRule="exact"/>
              <w:jc w:val="center"/>
              <w:rPr>
                <w:lang w:val="en-US"/>
              </w:rPr>
            </w:pPr>
            <w:r>
              <w:rPr>
                <w:lang w:val="en-US"/>
              </w:rPr>
              <w:t>88.10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2008</w:t>
            </w:r>
          </w:p>
        </w:tc>
        <w:tc>
          <w:tcPr>
            <w:tcW w:w="1417" w:type="dxa"/>
            <w:vAlign w:val="center"/>
          </w:tcPr>
          <w:p>
            <w:pPr>
              <w:spacing w:line="360" w:lineRule="exact"/>
              <w:jc w:val="center"/>
              <w:rPr>
                <w:lang w:val="en-US"/>
              </w:rPr>
            </w:pPr>
            <w:r>
              <w:rPr>
                <w:lang w:val="en-US"/>
              </w:rPr>
              <w:t>2402.41</w:t>
            </w:r>
          </w:p>
        </w:tc>
        <w:tc>
          <w:tcPr>
            <w:tcW w:w="2552" w:type="dxa"/>
            <w:vAlign w:val="center"/>
          </w:tcPr>
          <w:p>
            <w:pPr>
              <w:spacing w:line="360" w:lineRule="exact"/>
              <w:jc w:val="center"/>
              <w:rPr>
                <w:lang w:val="en-US"/>
              </w:rPr>
            </w:pPr>
            <w:r>
              <w:rPr>
                <w:lang w:val="en-US"/>
              </w:rPr>
              <w:t>1987.03</w:t>
            </w:r>
          </w:p>
        </w:tc>
        <w:tc>
          <w:tcPr>
            <w:tcW w:w="1134" w:type="dxa"/>
            <w:vAlign w:val="center"/>
          </w:tcPr>
          <w:p>
            <w:pPr>
              <w:spacing w:line="360" w:lineRule="exact"/>
              <w:jc w:val="center"/>
              <w:rPr>
                <w:lang w:val="en-US"/>
              </w:rPr>
            </w:pPr>
            <w:r>
              <w:rPr>
                <w:lang w:val="en-US"/>
              </w:rPr>
              <w:t>82.71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2009</w:t>
            </w:r>
          </w:p>
        </w:tc>
        <w:tc>
          <w:tcPr>
            <w:tcW w:w="1417" w:type="dxa"/>
            <w:vAlign w:val="center"/>
          </w:tcPr>
          <w:p>
            <w:pPr>
              <w:spacing w:line="360" w:lineRule="exact"/>
              <w:jc w:val="center"/>
              <w:rPr>
                <w:lang w:val="en-US"/>
              </w:rPr>
            </w:pPr>
            <w:r>
              <w:rPr>
                <w:lang w:val="en-US"/>
              </w:rPr>
              <w:t>1728.41</w:t>
            </w:r>
          </w:p>
        </w:tc>
        <w:tc>
          <w:tcPr>
            <w:tcW w:w="2552" w:type="dxa"/>
            <w:vAlign w:val="center"/>
          </w:tcPr>
          <w:p>
            <w:pPr>
              <w:spacing w:line="360" w:lineRule="exact"/>
              <w:jc w:val="center"/>
              <w:rPr>
                <w:lang w:val="en-US"/>
              </w:rPr>
            </w:pPr>
            <w:r>
              <w:rPr>
                <w:lang w:val="en-US"/>
              </w:rPr>
              <w:t>1604.49</w:t>
            </w:r>
          </w:p>
        </w:tc>
        <w:tc>
          <w:tcPr>
            <w:tcW w:w="1134" w:type="dxa"/>
            <w:vAlign w:val="center"/>
          </w:tcPr>
          <w:p>
            <w:pPr>
              <w:spacing w:line="360" w:lineRule="exact"/>
              <w:jc w:val="center"/>
              <w:rPr>
                <w:lang w:val="en-US"/>
              </w:rPr>
            </w:pPr>
            <w:r>
              <w:rPr>
                <w:lang w:val="en-US"/>
              </w:rPr>
              <w:t>92.83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2010</w:t>
            </w:r>
          </w:p>
        </w:tc>
        <w:tc>
          <w:tcPr>
            <w:tcW w:w="1417" w:type="dxa"/>
            <w:vAlign w:val="center"/>
          </w:tcPr>
          <w:p>
            <w:pPr>
              <w:spacing w:line="360" w:lineRule="exact"/>
              <w:jc w:val="center"/>
              <w:rPr>
                <w:lang w:val="en-US"/>
              </w:rPr>
            </w:pPr>
            <w:r>
              <w:rPr>
                <w:lang w:val="en-US"/>
              </w:rPr>
              <w:t>2404.83</w:t>
            </w:r>
          </w:p>
        </w:tc>
        <w:tc>
          <w:tcPr>
            <w:tcW w:w="2552" w:type="dxa"/>
            <w:vAlign w:val="center"/>
          </w:tcPr>
          <w:p>
            <w:pPr>
              <w:spacing w:line="360" w:lineRule="exact"/>
              <w:jc w:val="center"/>
              <w:rPr>
                <w:lang w:val="en-US"/>
              </w:rPr>
            </w:pPr>
            <w:r>
              <w:rPr>
                <w:lang w:val="en-US"/>
              </w:rPr>
              <w:t>1930.55</w:t>
            </w:r>
          </w:p>
        </w:tc>
        <w:tc>
          <w:tcPr>
            <w:tcW w:w="1134" w:type="dxa"/>
            <w:vAlign w:val="center"/>
          </w:tcPr>
          <w:p>
            <w:pPr>
              <w:spacing w:line="360" w:lineRule="exact"/>
              <w:jc w:val="center"/>
              <w:rPr>
                <w:lang w:val="en-US"/>
              </w:rPr>
            </w:pPr>
            <w:r>
              <w:rPr>
                <w:lang w:val="en-US"/>
              </w:rPr>
              <w:t>80.28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2011</w:t>
            </w:r>
          </w:p>
        </w:tc>
        <w:tc>
          <w:tcPr>
            <w:tcW w:w="1417" w:type="dxa"/>
            <w:vAlign w:val="center"/>
          </w:tcPr>
          <w:p>
            <w:pPr>
              <w:spacing w:line="360" w:lineRule="exact"/>
              <w:jc w:val="center"/>
              <w:rPr>
                <w:lang w:val="en-US"/>
              </w:rPr>
            </w:pPr>
            <w:r>
              <w:rPr>
                <w:lang w:val="en-US"/>
              </w:rPr>
              <w:t>6118.92</w:t>
            </w:r>
          </w:p>
        </w:tc>
        <w:tc>
          <w:tcPr>
            <w:tcW w:w="2552" w:type="dxa"/>
            <w:vAlign w:val="center"/>
          </w:tcPr>
          <w:p>
            <w:pPr>
              <w:spacing w:line="360" w:lineRule="exact"/>
              <w:jc w:val="center"/>
              <w:rPr>
                <w:lang w:val="en-US"/>
              </w:rPr>
            </w:pPr>
            <w:r>
              <w:rPr>
                <w:lang w:val="en-US"/>
              </w:rPr>
              <w:t>5801.54</w:t>
            </w:r>
          </w:p>
        </w:tc>
        <w:tc>
          <w:tcPr>
            <w:tcW w:w="1134" w:type="dxa"/>
            <w:vAlign w:val="center"/>
          </w:tcPr>
          <w:p>
            <w:pPr>
              <w:spacing w:line="360" w:lineRule="exact"/>
              <w:jc w:val="center"/>
              <w:rPr>
                <w:lang w:val="en-US"/>
              </w:rPr>
            </w:pPr>
            <w:r>
              <w:rPr>
                <w:lang w:val="en-US"/>
              </w:rPr>
              <w:t>94.81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2012</w:t>
            </w:r>
          </w:p>
        </w:tc>
        <w:tc>
          <w:tcPr>
            <w:tcW w:w="1417" w:type="dxa"/>
            <w:vAlign w:val="center"/>
          </w:tcPr>
          <w:p>
            <w:pPr>
              <w:spacing w:line="360" w:lineRule="exact"/>
              <w:jc w:val="center"/>
              <w:rPr>
                <w:lang w:val="en-US"/>
              </w:rPr>
            </w:pPr>
            <w:r>
              <w:rPr>
                <w:lang w:val="en-US"/>
              </w:rPr>
              <w:t>3355.96</w:t>
            </w:r>
          </w:p>
        </w:tc>
        <w:tc>
          <w:tcPr>
            <w:tcW w:w="2552" w:type="dxa"/>
            <w:vAlign w:val="center"/>
          </w:tcPr>
          <w:p>
            <w:pPr>
              <w:spacing w:line="360" w:lineRule="exact"/>
              <w:jc w:val="center"/>
              <w:rPr>
                <w:lang w:val="en-US"/>
              </w:rPr>
            </w:pPr>
            <w:r>
              <w:rPr>
                <w:lang w:val="en-US"/>
              </w:rPr>
              <w:t>2977.27</w:t>
            </w:r>
          </w:p>
        </w:tc>
        <w:tc>
          <w:tcPr>
            <w:tcW w:w="1134" w:type="dxa"/>
            <w:vAlign w:val="center"/>
          </w:tcPr>
          <w:p>
            <w:pPr>
              <w:spacing w:line="360" w:lineRule="exact"/>
              <w:jc w:val="center"/>
              <w:rPr>
                <w:lang w:val="en-US"/>
              </w:rPr>
            </w:pPr>
            <w:r>
              <w:rPr>
                <w:lang w:val="en-US"/>
              </w:rPr>
              <w:t>88.72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2013</w:t>
            </w:r>
          </w:p>
        </w:tc>
        <w:tc>
          <w:tcPr>
            <w:tcW w:w="1417" w:type="dxa"/>
            <w:vAlign w:val="center"/>
          </w:tcPr>
          <w:p>
            <w:pPr>
              <w:spacing w:line="360" w:lineRule="exact"/>
              <w:jc w:val="center"/>
              <w:rPr>
                <w:lang w:val="en-US"/>
              </w:rPr>
            </w:pPr>
            <w:r>
              <w:rPr>
                <w:lang w:val="en-US"/>
              </w:rPr>
              <w:t>3669.78</w:t>
            </w:r>
          </w:p>
        </w:tc>
        <w:tc>
          <w:tcPr>
            <w:tcW w:w="2552" w:type="dxa"/>
            <w:vAlign w:val="center"/>
          </w:tcPr>
          <w:p>
            <w:pPr>
              <w:spacing w:line="360" w:lineRule="exact"/>
              <w:jc w:val="center"/>
              <w:rPr>
                <w:lang w:val="en-US"/>
              </w:rPr>
            </w:pPr>
            <w:r>
              <w:rPr>
                <w:lang w:val="en-US"/>
              </w:rPr>
              <w:t>3532.71</w:t>
            </w:r>
          </w:p>
        </w:tc>
        <w:tc>
          <w:tcPr>
            <w:tcW w:w="1134" w:type="dxa"/>
            <w:vAlign w:val="center"/>
          </w:tcPr>
          <w:p>
            <w:pPr>
              <w:spacing w:line="360" w:lineRule="exact"/>
              <w:jc w:val="center"/>
              <w:rPr>
                <w:lang w:val="en-US"/>
              </w:rPr>
            </w:pPr>
            <w:r>
              <w:rPr>
                <w:lang w:val="en-US"/>
              </w:rPr>
              <w:t>96.27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3</w:t>
            </w:r>
          </w:p>
        </w:tc>
        <w:tc>
          <w:tcPr>
            <w:tcW w:w="1417" w:type="dxa"/>
            <w:vAlign w:val="center"/>
          </w:tcPr>
          <w:p>
            <w:pPr>
              <w:spacing w:line="360" w:lineRule="exact"/>
              <w:jc w:val="center"/>
              <w:rPr>
                <w:lang w:val="en-US"/>
              </w:rPr>
            </w:pPr>
            <w:r>
              <w:rPr>
                <w:lang w:val="en-US"/>
              </w:rPr>
              <w:t>11099.70</w:t>
            </w:r>
          </w:p>
        </w:tc>
        <w:tc>
          <w:tcPr>
            <w:tcW w:w="2552" w:type="dxa"/>
            <w:vAlign w:val="center"/>
          </w:tcPr>
          <w:p>
            <w:pPr>
              <w:spacing w:line="360" w:lineRule="exact"/>
              <w:jc w:val="center"/>
              <w:rPr>
                <w:lang w:val="en-US"/>
              </w:rPr>
            </w:pPr>
            <w:r>
              <w:rPr>
                <w:lang w:val="en-US"/>
              </w:rPr>
              <w:t>10661.30</w:t>
            </w:r>
          </w:p>
        </w:tc>
        <w:tc>
          <w:tcPr>
            <w:tcW w:w="1134" w:type="dxa"/>
            <w:vAlign w:val="center"/>
          </w:tcPr>
          <w:p>
            <w:pPr>
              <w:spacing w:line="360" w:lineRule="exact"/>
              <w:jc w:val="center"/>
              <w:rPr>
                <w:lang w:val="en-US"/>
              </w:rPr>
            </w:pPr>
            <w:r>
              <w:rPr>
                <w:lang w:val="en-US"/>
              </w:rPr>
              <w:t>96.05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3001</w:t>
            </w:r>
          </w:p>
        </w:tc>
        <w:tc>
          <w:tcPr>
            <w:tcW w:w="1417" w:type="dxa"/>
            <w:vAlign w:val="center"/>
          </w:tcPr>
          <w:p>
            <w:pPr>
              <w:spacing w:line="360" w:lineRule="exact"/>
              <w:jc w:val="center"/>
              <w:rPr>
                <w:lang w:val="en-US"/>
              </w:rPr>
            </w:pPr>
            <w:r>
              <w:rPr>
                <w:lang w:val="en-US"/>
              </w:rPr>
              <w:t>2361.12</w:t>
            </w:r>
          </w:p>
        </w:tc>
        <w:tc>
          <w:tcPr>
            <w:tcW w:w="2552" w:type="dxa"/>
            <w:vAlign w:val="center"/>
          </w:tcPr>
          <w:p>
            <w:pPr>
              <w:spacing w:line="360" w:lineRule="exact"/>
              <w:jc w:val="center"/>
              <w:rPr>
                <w:lang w:val="en-US"/>
              </w:rPr>
            </w:pPr>
            <w:r>
              <w:rPr>
                <w:lang w:val="en-US"/>
              </w:rPr>
              <w:t>2120.38</w:t>
            </w:r>
          </w:p>
        </w:tc>
        <w:tc>
          <w:tcPr>
            <w:tcW w:w="1134" w:type="dxa"/>
            <w:vAlign w:val="center"/>
          </w:tcPr>
          <w:p>
            <w:pPr>
              <w:spacing w:line="360" w:lineRule="exact"/>
              <w:jc w:val="center"/>
              <w:rPr>
                <w:lang w:val="en-US"/>
              </w:rPr>
            </w:pPr>
            <w:r>
              <w:rPr>
                <w:lang w:val="en-US"/>
              </w:rPr>
              <w:t>89.80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4</w:t>
            </w:r>
          </w:p>
        </w:tc>
        <w:tc>
          <w:tcPr>
            <w:tcW w:w="1417" w:type="dxa"/>
            <w:vAlign w:val="center"/>
          </w:tcPr>
          <w:p>
            <w:pPr>
              <w:spacing w:line="360" w:lineRule="exact"/>
              <w:jc w:val="center"/>
              <w:rPr>
                <w:lang w:val="en-US"/>
              </w:rPr>
            </w:pPr>
            <w:r>
              <w:rPr>
                <w:lang w:val="en-US"/>
              </w:rPr>
              <w:t>3631.01</w:t>
            </w:r>
          </w:p>
        </w:tc>
        <w:tc>
          <w:tcPr>
            <w:tcW w:w="2552" w:type="dxa"/>
            <w:vAlign w:val="center"/>
          </w:tcPr>
          <w:p>
            <w:pPr>
              <w:spacing w:line="360" w:lineRule="exact"/>
              <w:jc w:val="center"/>
              <w:rPr>
                <w:lang w:val="en-US"/>
              </w:rPr>
            </w:pPr>
            <w:r>
              <w:rPr>
                <w:lang w:val="en-US"/>
              </w:rPr>
              <w:t>3316.25</w:t>
            </w:r>
          </w:p>
        </w:tc>
        <w:tc>
          <w:tcPr>
            <w:tcW w:w="1134" w:type="dxa"/>
            <w:vAlign w:val="center"/>
          </w:tcPr>
          <w:p>
            <w:pPr>
              <w:spacing w:line="360" w:lineRule="exact"/>
              <w:jc w:val="center"/>
              <w:rPr>
                <w:lang w:val="en-US"/>
              </w:rPr>
            </w:pPr>
            <w:r>
              <w:rPr>
                <w:lang w:val="en-US"/>
              </w:rPr>
              <w:t>91.33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w:t>
            </w:r>
          </w:p>
        </w:tc>
        <w:tc>
          <w:tcPr>
            <w:tcW w:w="1417" w:type="dxa"/>
            <w:vAlign w:val="center"/>
          </w:tcPr>
          <w:p>
            <w:pPr>
              <w:spacing w:line="360" w:lineRule="exact"/>
              <w:jc w:val="center"/>
              <w:rPr>
                <w:lang w:val="en-US"/>
              </w:rPr>
            </w:pPr>
            <w:r>
              <w:rPr>
                <w:lang w:val="en-US"/>
              </w:rPr>
              <w:t>1.21</w:t>
            </w:r>
          </w:p>
        </w:tc>
        <w:tc>
          <w:tcPr>
            <w:tcW w:w="2552" w:type="dxa"/>
            <w:vAlign w:val="center"/>
          </w:tcPr>
          <w:p>
            <w:pPr>
              <w:spacing w:line="360" w:lineRule="exact"/>
              <w:jc w:val="center"/>
              <w:rPr>
                <w:lang w:val="en-US"/>
              </w:rPr>
            </w:pPr>
            <w:r>
              <w:rPr>
                <w:lang w:val="en-US"/>
              </w:rPr>
              <w:t>1.21</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bookmarkEnd w:id="145"/>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
        <w:rPr>
          <w:rFonts w:hint="eastAsia"/>
        </w:rPr>
        <w:t xml:space="preserve"> </w:t>
      </w:r>
    </w:p>
    <w:p>
      <w:pPr>
        <w:rPr>
          <w:lang w:val="en-US"/>
        </w:rPr>
      </w:pPr>
      <w:bookmarkStart w:id="146" w:name="建筑室内外风压差达标判定结论"/>
      <w:r>
        <w:rPr>
          <w:rFonts w:hint="eastAsia"/>
          <w:lang w:val="en-US"/>
        </w:rPr>
        <w:t>结论：本项目中所有建筑均满足“50%以上可开启外窗室内外表面的风压差大于0.5Pa”的要求。</w:t>
      </w:r>
      <w:bookmarkEnd w:id="146"/>
      <w:r>
        <w:rPr>
          <w:rFonts w:hint="eastAsia"/>
          <w:lang w:val="en-US"/>
        </w:rPr>
        <w:t xml:space="preserve"> </w:t>
      </w:r>
    </w:p>
    <w:p>
      <w:pPr>
        <w:pStyle w:val="4"/>
      </w:pPr>
      <w:bookmarkStart w:id="147" w:name="_Toc21480"/>
      <w:r>
        <w:rPr>
          <w:rFonts w:hint="eastAsia"/>
        </w:rPr>
        <w:t>过渡季工况</w:t>
      </w:r>
      <w:bookmarkEnd w:id="147"/>
    </w:p>
    <w:p>
      <w:pPr>
        <w:pStyle w:val="3"/>
        <w:ind w:firstLine="420"/>
      </w:pPr>
      <w:r>
        <w:rPr>
          <w:rFonts w:hint="eastAsia"/>
          <w:lang w:val="en-US"/>
        </w:rPr>
        <w:t>本项目过渡季工况的入口边界风速为3.40</w:t>
      </w:r>
      <w:bookmarkEnd w:id="3"/>
      <w:r>
        <w:rPr>
          <w:rFonts w:hint="eastAsia"/>
          <w:lang w:val="en-US"/>
        </w:rPr>
        <w:t>m/s，风向为</w:t>
      </w:r>
      <w:r>
        <w:t>SW</w:t>
      </w:r>
      <w:bookmarkEnd w:id="4"/>
      <w:r>
        <w:rPr>
          <w:rFonts w:hint="eastAsia"/>
          <w:lang w:val="en-US"/>
        </w:rPr>
        <w:t>。</w:t>
      </w:r>
    </w:p>
    <w:p>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48" w:name="_Toc27929"/>
      <w:r>
        <w:rPr>
          <w:rFonts w:hint="eastAsia"/>
        </w:rPr>
        <w:t>无风区计算分析</w:t>
      </w:r>
      <w:bookmarkEnd w:id="8"/>
      <w:bookmarkEnd w:id="148"/>
    </w:p>
    <w:p>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r>
        <w:t>人活动区内未标示出风速</w:t>
      </w:r>
      <w:r>
        <w:rPr>
          <w:color w:val="0000FF"/>
        </w:rPr>
        <w:t>小于</w:t>
      </w:r>
      <w:r>
        <w:t>0.2m/s的超限区域，因此人活动区风速</w:t>
      </w:r>
      <w:r>
        <w:rPr>
          <w:color w:val="0000FF"/>
        </w:rPr>
        <w:t>满足</w:t>
      </w:r>
      <w:r>
        <w:t>绿标要求，项目可采用现有建筑布局。</w:t>
      </w:r>
    </w:p>
    <w:p>
      <w:pPr>
        <w:pStyle w:val="3"/>
        <w:spacing w:after="156" w:afterLines="50"/>
        <w:ind w:firstLine="0" w:firstLineChars="0"/>
        <w:jc w:val="center"/>
      </w:pPr>
      <w:r>
        <w:drawing>
          <wp:inline distT="0" distB="0" distL="0" distR="0">
            <wp:extent cx="5667375" cy="37052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3"/>
                    <a:stretch>
                      <a:fillRect/>
                    </a:stretch>
                  </pic:blipFill>
                  <pic:spPr>
                    <a:xfrm>
                      <a:off x="0" y="0"/>
                      <a:ext cx="5667375" cy="3705225"/>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pPr>
        <w:pStyle w:val="3"/>
        <w:ind w:firstLine="420"/>
      </w:pPr>
    </w:p>
    <w:p>
      <w:pPr>
        <w:pStyle w:val="5"/>
      </w:pPr>
      <w:bookmarkStart w:id="149" w:name="_Toc29161"/>
      <w:r>
        <w:rPr>
          <w:rFonts w:hint="eastAsia"/>
        </w:rPr>
        <w:t>旋涡区分析</w:t>
      </w:r>
      <w:bookmarkEnd w:id="10"/>
      <w:bookmarkEnd w:id="149"/>
    </w:p>
    <w:p>
      <w:pPr>
        <w:pStyle w:val="3"/>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firstLineChars="0"/>
        <w:jc w:val="center"/>
        <w:rPr>
          <w:lang w:val="en-US"/>
        </w:rPr>
      </w:pPr>
      <w:r>
        <w:drawing>
          <wp:inline distT="0" distB="0" distL="0" distR="0">
            <wp:extent cx="5667375" cy="37052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4"/>
                    <a:stretch>
                      <a:fillRect/>
                    </a:stretch>
                  </pic:blipFill>
                  <pic:spPr>
                    <a:xfrm>
                      <a:off x="0" y="0"/>
                      <a:ext cx="5667375" cy="370522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pPr>
        <w:pStyle w:val="3"/>
        <w:ind w:firstLine="420"/>
        <w:rPr>
          <w:lang w:val="en-US"/>
        </w:rPr>
      </w:pPr>
    </w:p>
    <w:p>
      <w:pPr>
        <w:pStyle w:val="5"/>
      </w:pPr>
      <w:bookmarkStart w:id="150" w:name="_Toc2561"/>
      <w:r>
        <w:rPr>
          <w:rFonts w:hint="eastAsia"/>
        </w:rPr>
        <w:t>旋涡区/无风区达标</w:t>
      </w:r>
      <w:bookmarkEnd w:id="12"/>
      <w:r>
        <w:rPr>
          <w:rFonts w:hint="eastAsia"/>
        </w:rPr>
        <w:t>结果汇总</w:t>
      </w:r>
      <w:bookmarkEnd w:id="150"/>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5"/>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6"/>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8"/>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9"/>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21"/>
          </w:p>
        </w:tc>
      </w:tr>
    </w:tbl>
    <w:p>
      <w:pPr>
        <w:pStyle w:val="5"/>
      </w:pPr>
      <w:bookmarkStart w:id="151" w:name="_Toc18190"/>
      <w:r>
        <w:rPr>
          <w:rFonts w:hint="eastAsia"/>
        </w:rPr>
        <w:t>外窗内外表面风压</w:t>
      </w:r>
      <w:bookmarkEnd w:id="22"/>
      <w:r>
        <w:rPr>
          <w:rFonts w:hint="eastAsia"/>
        </w:rPr>
        <w:t>差达标分析</w:t>
      </w:r>
      <w:bookmarkEnd w:id="23"/>
      <w:bookmarkEnd w:id="151"/>
    </w:p>
    <w:p>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pPr>
        <w:pStyle w:val="3"/>
        <w:ind w:firstLine="0" w:firstLineChars="0"/>
        <w:jc w:val="center"/>
      </w:pPr>
      <w:r>
        <w:drawing>
          <wp:inline distT="0" distB="0" distL="0" distR="0">
            <wp:extent cx="5667375" cy="36671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5"/>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pPr>
        <w:jc w:val="center"/>
      </w:pPr>
      <w:r>
        <w:drawing>
          <wp:inline distT="0" distB="0" distL="0" distR="0">
            <wp:extent cx="5667375" cy="36766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6"/>
                    <a:stretch>
                      <a:fillRect/>
                    </a:stretch>
                  </pic:blipFill>
                  <pic:spPr>
                    <a:xfrm>
                      <a:off x="0" y="0"/>
                      <a:ext cx="5667375" cy="36766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r>
        <w:rPr>
          <w:rFonts w:hint="eastAsia"/>
        </w:rPr>
        <w:t>下表为依据上图提取的外窗外表面平均风压数据，相当于外窗室内外表面风压差数据，并依据标准做出达标判断：</w:t>
      </w:r>
    </w:p>
    <w:p>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单体</w:t>
            </w:r>
          </w:p>
        </w:tc>
        <w:tc>
          <w:tcPr>
            <w:tcW w:w="1134" w:type="dxa"/>
            <w:shd w:val="clear" w:color="auto" w:fill="auto"/>
            <w:vAlign w:val="center"/>
          </w:tcPr>
          <w:p>
            <w:pPr>
              <w:jc w:val="center"/>
              <w:rPr>
                <w:lang w:val="en-US"/>
              </w:rPr>
            </w:pPr>
            <w:r>
              <w:rPr>
                <w:lang w:val="en-US"/>
              </w:rPr>
              <w:t>166</w:t>
            </w:r>
          </w:p>
        </w:tc>
        <w:tc>
          <w:tcPr>
            <w:tcW w:w="1984" w:type="dxa"/>
            <w:shd w:val="clear" w:color="auto" w:fill="auto"/>
            <w:vAlign w:val="center"/>
          </w:tcPr>
          <w:p>
            <w:pPr>
              <w:jc w:val="center"/>
              <w:rPr>
                <w:lang w:val="en-US"/>
              </w:rPr>
            </w:pPr>
            <w:r>
              <w:rPr>
                <w:lang w:val="en-US"/>
              </w:rPr>
              <w:t>149</w:t>
            </w:r>
          </w:p>
        </w:tc>
        <w:tc>
          <w:tcPr>
            <w:tcW w:w="1116" w:type="dxa"/>
            <w:shd w:val="clear" w:color="auto" w:fill="auto"/>
            <w:vAlign w:val="center"/>
          </w:tcPr>
          <w:p>
            <w:pPr>
              <w:jc w:val="center"/>
              <w:rPr>
                <w:lang w:val="en-US"/>
              </w:rPr>
            </w:pPr>
            <w:r>
              <w:rPr>
                <w:lang w:val="en-US"/>
              </w:rPr>
              <w:t>89.76</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bookmarkEnd w:id="30"/>
    <w:p>
      <w:pPr>
        <w:rPr>
          <w:lang w:val="en-US"/>
        </w:rPr>
      </w:pPr>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jc w:val="cente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w:t>
            </w:r>
          </w:p>
        </w:tc>
        <w:tc>
          <w:tcPr>
            <w:tcW w:w="1417" w:type="dxa"/>
            <w:vAlign w:val="center"/>
          </w:tcPr>
          <w:p>
            <w:pPr>
              <w:spacing w:line="360" w:lineRule="exact"/>
              <w:jc w:val="center"/>
              <w:rPr>
                <w:lang w:val="en-US"/>
              </w:rPr>
            </w:pPr>
            <w:r>
              <w:rPr>
                <w:lang w:val="en-US"/>
              </w:rPr>
              <w:t>17397.90</w:t>
            </w:r>
          </w:p>
        </w:tc>
        <w:tc>
          <w:tcPr>
            <w:tcW w:w="2552" w:type="dxa"/>
            <w:vAlign w:val="center"/>
          </w:tcPr>
          <w:p>
            <w:pPr>
              <w:spacing w:line="360" w:lineRule="exact"/>
              <w:jc w:val="center"/>
              <w:rPr>
                <w:lang w:val="en-US"/>
              </w:rPr>
            </w:pPr>
            <w:r>
              <w:rPr>
                <w:lang w:val="en-US"/>
              </w:rPr>
              <w:t>16296.10</w:t>
            </w:r>
          </w:p>
        </w:tc>
        <w:tc>
          <w:tcPr>
            <w:tcW w:w="1134" w:type="dxa"/>
            <w:vAlign w:val="center"/>
          </w:tcPr>
          <w:p>
            <w:pPr>
              <w:spacing w:line="360" w:lineRule="exact"/>
              <w:jc w:val="center"/>
              <w:rPr>
                <w:lang w:val="en-US"/>
              </w:rPr>
            </w:pPr>
            <w:r>
              <w:rPr>
                <w:lang w:val="en-US"/>
              </w:rPr>
              <w:t>93.67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1001</w:t>
            </w:r>
          </w:p>
        </w:tc>
        <w:tc>
          <w:tcPr>
            <w:tcW w:w="1417" w:type="dxa"/>
            <w:vAlign w:val="center"/>
          </w:tcPr>
          <w:p>
            <w:pPr>
              <w:spacing w:line="360" w:lineRule="exact"/>
              <w:jc w:val="center"/>
              <w:rPr>
                <w:lang w:val="en-US"/>
              </w:rPr>
            </w:pPr>
            <w:r>
              <w:rPr>
                <w:lang w:val="en-US"/>
              </w:rPr>
              <w:t>523.69</w:t>
            </w:r>
          </w:p>
        </w:tc>
        <w:tc>
          <w:tcPr>
            <w:tcW w:w="2552" w:type="dxa"/>
            <w:vAlign w:val="center"/>
          </w:tcPr>
          <w:p>
            <w:pPr>
              <w:spacing w:line="360" w:lineRule="exact"/>
              <w:jc w:val="center"/>
              <w:rPr>
                <w:lang w:val="en-US"/>
              </w:rPr>
            </w:pPr>
            <w:r>
              <w:rPr>
                <w:lang w:val="en-US"/>
              </w:rPr>
              <w:t>523.69</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1002</w:t>
            </w:r>
          </w:p>
        </w:tc>
        <w:tc>
          <w:tcPr>
            <w:tcW w:w="1417" w:type="dxa"/>
            <w:vAlign w:val="center"/>
          </w:tcPr>
          <w:p>
            <w:pPr>
              <w:spacing w:line="360" w:lineRule="exact"/>
              <w:jc w:val="center"/>
              <w:rPr>
                <w:lang w:val="en-US"/>
              </w:rPr>
            </w:pPr>
            <w:r>
              <w:rPr>
                <w:lang w:val="en-US"/>
              </w:rPr>
              <w:t>598.41</w:t>
            </w:r>
          </w:p>
        </w:tc>
        <w:tc>
          <w:tcPr>
            <w:tcW w:w="2552" w:type="dxa"/>
            <w:vAlign w:val="center"/>
          </w:tcPr>
          <w:p>
            <w:pPr>
              <w:spacing w:line="360" w:lineRule="exact"/>
              <w:jc w:val="center"/>
              <w:rPr>
                <w:lang w:val="en-US"/>
              </w:rPr>
            </w:pPr>
            <w:r>
              <w:rPr>
                <w:lang w:val="en-US"/>
              </w:rPr>
              <w:t>515.85</w:t>
            </w:r>
          </w:p>
        </w:tc>
        <w:tc>
          <w:tcPr>
            <w:tcW w:w="1134" w:type="dxa"/>
            <w:vAlign w:val="center"/>
          </w:tcPr>
          <w:p>
            <w:pPr>
              <w:spacing w:line="360" w:lineRule="exact"/>
              <w:jc w:val="center"/>
              <w:rPr>
                <w:lang w:val="en-US"/>
              </w:rPr>
            </w:pPr>
            <w:r>
              <w:rPr>
                <w:lang w:val="en-US"/>
              </w:rPr>
              <w:t>86.20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1003</w:t>
            </w:r>
          </w:p>
        </w:tc>
        <w:tc>
          <w:tcPr>
            <w:tcW w:w="1417" w:type="dxa"/>
            <w:vAlign w:val="center"/>
          </w:tcPr>
          <w:p>
            <w:pPr>
              <w:spacing w:line="360" w:lineRule="exact"/>
              <w:jc w:val="center"/>
              <w:rPr>
                <w:lang w:val="en-US"/>
              </w:rPr>
            </w:pPr>
            <w:r>
              <w:rPr>
                <w:lang w:val="en-US"/>
              </w:rPr>
              <w:t>839.21</w:t>
            </w:r>
          </w:p>
        </w:tc>
        <w:tc>
          <w:tcPr>
            <w:tcW w:w="2552" w:type="dxa"/>
            <w:vAlign w:val="center"/>
          </w:tcPr>
          <w:p>
            <w:pPr>
              <w:spacing w:line="360" w:lineRule="exact"/>
              <w:jc w:val="center"/>
              <w:rPr>
                <w:lang w:val="en-US"/>
              </w:rPr>
            </w:pPr>
            <w:r>
              <w:rPr>
                <w:lang w:val="en-US"/>
              </w:rPr>
              <w:t>839.21</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1004</w:t>
            </w:r>
          </w:p>
        </w:tc>
        <w:tc>
          <w:tcPr>
            <w:tcW w:w="1417" w:type="dxa"/>
            <w:vAlign w:val="center"/>
          </w:tcPr>
          <w:p>
            <w:pPr>
              <w:spacing w:line="360" w:lineRule="exact"/>
              <w:jc w:val="center"/>
              <w:rPr>
                <w:lang w:val="en-US"/>
              </w:rPr>
            </w:pPr>
            <w:r>
              <w:rPr>
                <w:lang w:val="en-US"/>
              </w:rPr>
              <w:t>451.51</w:t>
            </w:r>
          </w:p>
        </w:tc>
        <w:tc>
          <w:tcPr>
            <w:tcW w:w="2552" w:type="dxa"/>
            <w:vAlign w:val="center"/>
          </w:tcPr>
          <w:p>
            <w:pPr>
              <w:spacing w:line="360" w:lineRule="exact"/>
              <w:jc w:val="center"/>
              <w:rPr>
                <w:lang w:val="en-US"/>
              </w:rPr>
            </w:pPr>
            <w:r>
              <w:rPr>
                <w:lang w:val="en-US"/>
              </w:rPr>
              <w:t>448.50</w:t>
            </w:r>
          </w:p>
        </w:tc>
        <w:tc>
          <w:tcPr>
            <w:tcW w:w="1134" w:type="dxa"/>
            <w:vAlign w:val="center"/>
          </w:tcPr>
          <w:p>
            <w:pPr>
              <w:spacing w:line="360" w:lineRule="exact"/>
              <w:jc w:val="center"/>
              <w:rPr>
                <w:lang w:val="en-US"/>
              </w:rPr>
            </w:pPr>
            <w:r>
              <w:rPr>
                <w:lang w:val="en-US"/>
              </w:rPr>
              <w:t>99.33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1005</w:t>
            </w:r>
          </w:p>
        </w:tc>
        <w:tc>
          <w:tcPr>
            <w:tcW w:w="1417" w:type="dxa"/>
            <w:vAlign w:val="center"/>
          </w:tcPr>
          <w:p>
            <w:pPr>
              <w:spacing w:line="360" w:lineRule="exact"/>
              <w:jc w:val="center"/>
              <w:rPr>
                <w:lang w:val="en-US"/>
              </w:rPr>
            </w:pPr>
            <w:r>
              <w:rPr>
                <w:lang w:val="en-US"/>
              </w:rPr>
              <w:t>2725.63</w:t>
            </w:r>
          </w:p>
        </w:tc>
        <w:tc>
          <w:tcPr>
            <w:tcW w:w="2552" w:type="dxa"/>
            <w:vAlign w:val="center"/>
          </w:tcPr>
          <w:p>
            <w:pPr>
              <w:spacing w:line="360" w:lineRule="exact"/>
              <w:jc w:val="center"/>
              <w:rPr>
                <w:lang w:val="en-US"/>
              </w:rPr>
            </w:pPr>
            <w:r>
              <w:rPr>
                <w:lang w:val="en-US"/>
              </w:rPr>
              <w:t>2534.22</w:t>
            </w:r>
          </w:p>
        </w:tc>
        <w:tc>
          <w:tcPr>
            <w:tcW w:w="1134" w:type="dxa"/>
            <w:vAlign w:val="center"/>
          </w:tcPr>
          <w:p>
            <w:pPr>
              <w:spacing w:line="360" w:lineRule="exact"/>
              <w:jc w:val="center"/>
              <w:rPr>
                <w:lang w:val="en-US"/>
              </w:rPr>
            </w:pPr>
            <w:r>
              <w:rPr>
                <w:lang w:val="en-US"/>
              </w:rPr>
              <w:t>92.98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1006</w:t>
            </w:r>
          </w:p>
        </w:tc>
        <w:tc>
          <w:tcPr>
            <w:tcW w:w="1417" w:type="dxa"/>
            <w:vAlign w:val="center"/>
          </w:tcPr>
          <w:p>
            <w:pPr>
              <w:spacing w:line="360" w:lineRule="exact"/>
              <w:jc w:val="center"/>
              <w:rPr>
                <w:lang w:val="en-US"/>
              </w:rPr>
            </w:pPr>
            <w:r>
              <w:rPr>
                <w:lang w:val="en-US"/>
              </w:rPr>
              <w:t>612.16</w:t>
            </w:r>
          </w:p>
        </w:tc>
        <w:tc>
          <w:tcPr>
            <w:tcW w:w="2552" w:type="dxa"/>
            <w:vAlign w:val="center"/>
          </w:tcPr>
          <w:p>
            <w:pPr>
              <w:spacing w:line="360" w:lineRule="exact"/>
              <w:jc w:val="center"/>
              <w:rPr>
                <w:lang w:val="en-US"/>
              </w:rPr>
            </w:pPr>
            <w:r>
              <w:rPr>
                <w:lang w:val="en-US"/>
              </w:rPr>
              <w:t>459.29</w:t>
            </w:r>
          </w:p>
        </w:tc>
        <w:tc>
          <w:tcPr>
            <w:tcW w:w="1134" w:type="dxa"/>
            <w:vAlign w:val="center"/>
          </w:tcPr>
          <w:p>
            <w:pPr>
              <w:spacing w:line="360" w:lineRule="exact"/>
              <w:jc w:val="center"/>
              <w:rPr>
                <w:lang w:val="en-US"/>
              </w:rPr>
            </w:pPr>
            <w:r>
              <w:rPr>
                <w:lang w:val="en-US"/>
              </w:rPr>
              <w:t>75.03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1007</w:t>
            </w:r>
          </w:p>
        </w:tc>
        <w:tc>
          <w:tcPr>
            <w:tcW w:w="1417" w:type="dxa"/>
            <w:vAlign w:val="center"/>
          </w:tcPr>
          <w:p>
            <w:pPr>
              <w:spacing w:line="360" w:lineRule="exact"/>
              <w:jc w:val="center"/>
              <w:rPr>
                <w:lang w:val="en-US"/>
              </w:rPr>
            </w:pPr>
            <w:r>
              <w:rPr>
                <w:lang w:val="en-US"/>
              </w:rPr>
              <w:t>367.79</w:t>
            </w:r>
          </w:p>
        </w:tc>
        <w:tc>
          <w:tcPr>
            <w:tcW w:w="2552" w:type="dxa"/>
            <w:vAlign w:val="center"/>
          </w:tcPr>
          <w:p>
            <w:pPr>
              <w:spacing w:line="360" w:lineRule="exact"/>
              <w:jc w:val="center"/>
              <w:rPr>
                <w:lang w:val="en-US"/>
              </w:rPr>
            </w:pPr>
            <w:r>
              <w:rPr>
                <w:lang w:val="en-US"/>
              </w:rPr>
              <w:t>367.79</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1008</w:t>
            </w:r>
          </w:p>
        </w:tc>
        <w:tc>
          <w:tcPr>
            <w:tcW w:w="1417" w:type="dxa"/>
            <w:vAlign w:val="center"/>
          </w:tcPr>
          <w:p>
            <w:pPr>
              <w:spacing w:line="360" w:lineRule="exact"/>
              <w:jc w:val="center"/>
              <w:rPr>
                <w:lang w:val="en-US"/>
              </w:rPr>
            </w:pPr>
            <w:r>
              <w:rPr>
                <w:lang w:val="en-US"/>
              </w:rPr>
              <w:t>916.12</w:t>
            </w:r>
          </w:p>
        </w:tc>
        <w:tc>
          <w:tcPr>
            <w:tcW w:w="2552" w:type="dxa"/>
            <w:vAlign w:val="center"/>
          </w:tcPr>
          <w:p>
            <w:pPr>
              <w:spacing w:line="360" w:lineRule="exact"/>
              <w:jc w:val="center"/>
              <w:rPr>
                <w:lang w:val="en-US"/>
              </w:rPr>
            </w:pPr>
            <w:r>
              <w:rPr>
                <w:lang w:val="en-US"/>
              </w:rPr>
              <w:t>916.12</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1009</w:t>
            </w:r>
          </w:p>
        </w:tc>
        <w:tc>
          <w:tcPr>
            <w:tcW w:w="1417" w:type="dxa"/>
            <w:vAlign w:val="center"/>
          </w:tcPr>
          <w:p>
            <w:pPr>
              <w:spacing w:line="360" w:lineRule="exact"/>
              <w:jc w:val="center"/>
              <w:rPr>
                <w:lang w:val="en-US"/>
              </w:rPr>
            </w:pPr>
            <w:r>
              <w:rPr>
                <w:lang w:val="en-US"/>
              </w:rPr>
              <w:t>898.79</w:t>
            </w:r>
          </w:p>
        </w:tc>
        <w:tc>
          <w:tcPr>
            <w:tcW w:w="2552" w:type="dxa"/>
            <w:vAlign w:val="center"/>
          </w:tcPr>
          <w:p>
            <w:pPr>
              <w:spacing w:line="360" w:lineRule="exact"/>
              <w:jc w:val="center"/>
              <w:rPr>
                <w:lang w:val="en-US"/>
              </w:rPr>
            </w:pPr>
            <w:r>
              <w:rPr>
                <w:lang w:val="en-US"/>
              </w:rPr>
              <w:t>898.79</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1010</w:t>
            </w:r>
          </w:p>
        </w:tc>
        <w:tc>
          <w:tcPr>
            <w:tcW w:w="1417" w:type="dxa"/>
            <w:vAlign w:val="center"/>
          </w:tcPr>
          <w:p>
            <w:pPr>
              <w:spacing w:line="360" w:lineRule="exact"/>
              <w:jc w:val="center"/>
              <w:rPr>
                <w:lang w:val="en-US"/>
              </w:rPr>
            </w:pPr>
            <w:r>
              <w:rPr>
                <w:lang w:val="en-US"/>
              </w:rPr>
              <w:t>916.13</w:t>
            </w:r>
          </w:p>
        </w:tc>
        <w:tc>
          <w:tcPr>
            <w:tcW w:w="2552" w:type="dxa"/>
            <w:vAlign w:val="center"/>
          </w:tcPr>
          <w:p>
            <w:pPr>
              <w:spacing w:line="360" w:lineRule="exact"/>
              <w:jc w:val="center"/>
              <w:rPr>
                <w:lang w:val="en-US"/>
              </w:rPr>
            </w:pPr>
            <w:r>
              <w:rPr>
                <w:lang w:val="en-US"/>
              </w:rPr>
              <w:t>879.36</w:t>
            </w:r>
          </w:p>
        </w:tc>
        <w:tc>
          <w:tcPr>
            <w:tcW w:w="1134" w:type="dxa"/>
            <w:vAlign w:val="center"/>
          </w:tcPr>
          <w:p>
            <w:pPr>
              <w:spacing w:line="360" w:lineRule="exact"/>
              <w:jc w:val="center"/>
              <w:rPr>
                <w:lang w:val="en-US"/>
              </w:rPr>
            </w:pPr>
            <w:r>
              <w:rPr>
                <w:lang w:val="en-US"/>
              </w:rPr>
              <w:t>95.99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1011</w:t>
            </w:r>
          </w:p>
        </w:tc>
        <w:tc>
          <w:tcPr>
            <w:tcW w:w="1417" w:type="dxa"/>
            <w:vAlign w:val="center"/>
          </w:tcPr>
          <w:p>
            <w:pPr>
              <w:spacing w:line="360" w:lineRule="exact"/>
              <w:jc w:val="center"/>
              <w:rPr>
                <w:lang w:val="en-US"/>
              </w:rPr>
            </w:pPr>
            <w:r>
              <w:rPr>
                <w:lang w:val="en-US"/>
              </w:rPr>
              <w:t>994.87</w:t>
            </w:r>
          </w:p>
        </w:tc>
        <w:tc>
          <w:tcPr>
            <w:tcW w:w="2552" w:type="dxa"/>
            <w:vAlign w:val="center"/>
          </w:tcPr>
          <w:p>
            <w:pPr>
              <w:spacing w:line="360" w:lineRule="exact"/>
              <w:jc w:val="center"/>
              <w:rPr>
                <w:lang w:val="en-US"/>
              </w:rPr>
            </w:pPr>
            <w:r>
              <w:rPr>
                <w:lang w:val="en-US"/>
              </w:rPr>
              <w:t>959.69</w:t>
            </w:r>
          </w:p>
        </w:tc>
        <w:tc>
          <w:tcPr>
            <w:tcW w:w="1134" w:type="dxa"/>
            <w:vAlign w:val="center"/>
          </w:tcPr>
          <w:p>
            <w:pPr>
              <w:spacing w:line="360" w:lineRule="exact"/>
              <w:jc w:val="center"/>
              <w:rPr>
                <w:lang w:val="en-US"/>
              </w:rPr>
            </w:pPr>
            <w:r>
              <w:rPr>
                <w:lang w:val="en-US"/>
              </w:rPr>
              <w:t>96.46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1013</w:t>
            </w:r>
          </w:p>
        </w:tc>
        <w:tc>
          <w:tcPr>
            <w:tcW w:w="1417" w:type="dxa"/>
            <w:vAlign w:val="center"/>
          </w:tcPr>
          <w:p>
            <w:pPr>
              <w:spacing w:line="360" w:lineRule="exact"/>
              <w:jc w:val="center"/>
              <w:rPr>
                <w:lang w:val="en-US"/>
              </w:rPr>
            </w:pPr>
            <w:r>
              <w:rPr>
                <w:lang w:val="en-US"/>
              </w:rPr>
              <w:t>471.93</w:t>
            </w:r>
          </w:p>
        </w:tc>
        <w:tc>
          <w:tcPr>
            <w:tcW w:w="2552" w:type="dxa"/>
            <w:vAlign w:val="center"/>
          </w:tcPr>
          <w:p>
            <w:pPr>
              <w:spacing w:line="360" w:lineRule="exact"/>
              <w:jc w:val="center"/>
              <w:rPr>
                <w:lang w:val="en-US"/>
              </w:rPr>
            </w:pPr>
            <w:r>
              <w:rPr>
                <w:lang w:val="en-US"/>
              </w:rPr>
              <w:t>471.93</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1014</w:t>
            </w:r>
          </w:p>
        </w:tc>
        <w:tc>
          <w:tcPr>
            <w:tcW w:w="1417" w:type="dxa"/>
            <w:vAlign w:val="center"/>
          </w:tcPr>
          <w:p>
            <w:pPr>
              <w:spacing w:line="360" w:lineRule="exact"/>
              <w:jc w:val="center"/>
              <w:rPr>
                <w:lang w:val="en-US"/>
              </w:rPr>
            </w:pPr>
            <w:r>
              <w:rPr>
                <w:lang w:val="en-US"/>
              </w:rPr>
              <w:t>516.89</w:t>
            </w:r>
          </w:p>
        </w:tc>
        <w:tc>
          <w:tcPr>
            <w:tcW w:w="2552" w:type="dxa"/>
            <w:vAlign w:val="center"/>
          </w:tcPr>
          <w:p>
            <w:pPr>
              <w:spacing w:line="360" w:lineRule="exact"/>
              <w:jc w:val="center"/>
              <w:rPr>
                <w:lang w:val="en-US"/>
              </w:rPr>
            </w:pPr>
            <w:r>
              <w:rPr>
                <w:lang w:val="en-US"/>
              </w:rPr>
              <w:t>478.61</w:t>
            </w:r>
          </w:p>
        </w:tc>
        <w:tc>
          <w:tcPr>
            <w:tcW w:w="1134" w:type="dxa"/>
            <w:vAlign w:val="center"/>
          </w:tcPr>
          <w:p>
            <w:pPr>
              <w:spacing w:line="360" w:lineRule="exact"/>
              <w:jc w:val="center"/>
              <w:rPr>
                <w:lang w:val="en-US"/>
              </w:rPr>
            </w:pPr>
            <w:r>
              <w:rPr>
                <w:lang w:val="en-US"/>
              </w:rPr>
              <w:t>92.59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1015</w:t>
            </w:r>
          </w:p>
        </w:tc>
        <w:tc>
          <w:tcPr>
            <w:tcW w:w="1417" w:type="dxa"/>
            <w:vAlign w:val="center"/>
          </w:tcPr>
          <w:p>
            <w:pPr>
              <w:spacing w:line="360" w:lineRule="exact"/>
              <w:jc w:val="center"/>
              <w:rPr>
                <w:lang w:val="en-US"/>
              </w:rPr>
            </w:pPr>
            <w:r>
              <w:rPr>
                <w:lang w:val="en-US"/>
              </w:rPr>
              <w:t>985.17</w:t>
            </w:r>
          </w:p>
        </w:tc>
        <w:tc>
          <w:tcPr>
            <w:tcW w:w="2552" w:type="dxa"/>
            <w:vAlign w:val="center"/>
          </w:tcPr>
          <w:p>
            <w:pPr>
              <w:spacing w:line="360" w:lineRule="exact"/>
              <w:jc w:val="center"/>
              <w:rPr>
                <w:lang w:val="en-US"/>
              </w:rPr>
            </w:pPr>
            <w:r>
              <w:rPr>
                <w:lang w:val="en-US"/>
              </w:rPr>
              <w:t>908.41</w:t>
            </w:r>
          </w:p>
        </w:tc>
        <w:tc>
          <w:tcPr>
            <w:tcW w:w="1134" w:type="dxa"/>
            <w:vAlign w:val="center"/>
          </w:tcPr>
          <w:p>
            <w:pPr>
              <w:spacing w:line="360" w:lineRule="exact"/>
              <w:jc w:val="center"/>
              <w:rPr>
                <w:lang w:val="en-US"/>
              </w:rPr>
            </w:pPr>
            <w:r>
              <w:rPr>
                <w:lang w:val="en-US"/>
              </w:rPr>
              <w:t>92.21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1016</w:t>
            </w:r>
          </w:p>
        </w:tc>
        <w:tc>
          <w:tcPr>
            <w:tcW w:w="1417" w:type="dxa"/>
            <w:vAlign w:val="center"/>
          </w:tcPr>
          <w:p>
            <w:pPr>
              <w:spacing w:line="360" w:lineRule="exact"/>
              <w:jc w:val="center"/>
              <w:rPr>
                <w:lang w:val="en-US"/>
              </w:rPr>
            </w:pPr>
            <w:r>
              <w:rPr>
                <w:lang w:val="en-US"/>
              </w:rPr>
              <w:t>916.85</w:t>
            </w:r>
          </w:p>
        </w:tc>
        <w:tc>
          <w:tcPr>
            <w:tcW w:w="2552" w:type="dxa"/>
            <w:vAlign w:val="center"/>
          </w:tcPr>
          <w:p>
            <w:pPr>
              <w:spacing w:line="360" w:lineRule="exact"/>
              <w:jc w:val="center"/>
              <w:rPr>
                <w:lang w:val="en-US"/>
              </w:rPr>
            </w:pPr>
            <w:r>
              <w:rPr>
                <w:lang w:val="en-US"/>
              </w:rPr>
              <w:t>916.85</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1017</w:t>
            </w:r>
          </w:p>
        </w:tc>
        <w:tc>
          <w:tcPr>
            <w:tcW w:w="1417" w:type="dxa"/>
            <w:vAlign w:val="center"/>
          </w:tcPr>
          <w:p>
            <w:pPr>
              <w:spacing w:line="360" w:lineRule="exact"/>
              <w:jc w:val="center"/>
              <w:rPr>
                <w:lang w:val="en-US"/>
              </w:rPr>
            </w:pPr>
            <w:r>
              <w:rPr>
                <w:lang w:val="en-US"/>
              </w:rPr>
              <w:t>2027.58</w:t>
            </w:r>
          </w:p>
        </w:tc>
        <w:tc>
          <w:tcPr>
            <w:tcW w:w="2552" w:type="dxa"/>
            <w:vAlign w:val="center"/>
          </w:tcPr>
          <w:p>
            <w:pPr>
              <w:spacing w:line="360" w:lineRule="exact"/>
              <w:jc w:val="center"/>
              <w:rPr>
                <w:lang w:val="en-US"/>
              </w:rPr>
            </w:pPr>
            <w:r>
              <w:rPr>
                <w:lang w:val="en-US"/>
              </w:rPr>
              <w:t>2027.58</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w:t>
            </w:r>
          </w:p>
        </w:tc>
        <w:tc>
          <w:tcPr>
            <w:tcW w:w="1417" w:type="dxa"/>
            <w:vAlign w:val="center"/>
          </w:tcPr>
          <w:p>
            <w:pPr>
              <w:spacing w:line="360" w:lineRule="exact"/>
              <w:jc w:val="center"/>
              <w:rPr>
                <w:lang w:val="en-US"/>
              </w:rPr>
            </w:pPr>
            <w:r>
              <w:rPr>
                <w:lang w:val="en-US"/>
              </w:rPr>
              <w:t>14439.00</w:t>
            </w:r>
          </w:p>
        </w:tc>
        <w:tc>
          <w:tcPr>
            <w:tcW w:w="2552" w:type="dxa"/>
            <w:vAlign w:val="center"/>
          </w:tcPr>
          <w:p>
            <w:pPr>
              <w:spacing w:line="360" w:lineRule="exact"/>
              <w:jc w:val="center"/>
              <w:rPr>
                <w:lang w:val="en-US"/>
              </w:rPr>
            </w:pPr>
            <w:r>
              <w:rPr>
                <w:lang w:val="en-US"/>
              </w:rPr>
              <w:t>13427.90</w:t>
            </w:r>
          </w:p>
        </w:tc>
        <w:tc>
          <w:tcPr>
            <w:tcW w:w="1134" w:type="dxa"/>
            <w:vAlign w:val="center"/>
          </w:tcPr>
          <w:p>
            <w:pPr>
              <w:spacing w:line="360" w:lineRule="exact"/>
              <w:jc w:val="center"/>
              <w:rPr>
                <w:lang w:val="en-US"/>
              </w:rPr>
            </w:pPr>
            <w:r>
              <w:rPr>
                <w:lang w:val="en-US"/>
              </w:rPr>
              <w:t>93.00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2001</w:t>
            </w:r>
          </w:p>
        </w:tc>
        <w:tc>
          <w:tcPr>
            <w:tcW w:w="1417" w:type="dxa"/>
            <w:vAlign w:val="center"/>
          </w:tcPr>
          <w:p>
            <w:pPr>
              <w:spacing w:line="360" w:lineRule="exact"/>
              <w:jc w:val="center"/>
              <w:rPr>
                <w:lang w:val="en-US"/>
              </w:rPr>
            </w:pPr>
            <w:r>
              <w:rPr>
                <w:lang w:val="en-US"/>
              </w:rPr>
              <w:t>1698.31</w:t>
            </w:r>
          </w:p>
        </w:tc>
        <w:tc>
          <w:tcPr>
            <w:tcW w:w="2552" w:type="dxa"/>
            <w:vAlign w:val="center"/>
          </w:tcPr>
          <w:p>
            <w:pPr>
              <w:spacing w:line="360" w:lineRule="exact"/>
              <w:jc w:val="center"/>
              <w:rPr>
                <w:lang w:val="en-US"/>
              </w:rPr>
            </w:pPr>
            <w:r>
              <w:rPr>
                <w:lang w:val="en-US"/>
              </w:rPr>
              <w:t>1477.21</w:t>
            </w:r>
          </w:p>
        </w:tc>
        <w:tc>
          <w:tcPr>
            <w:tcW w:w="1134" w:type="dxa"/>
            <w:vAlign w:val="center"/>
          </w:tcPr>
          <w:p>
            <w:pPr>
              <w:spacing w:line="360" w:lineRule="exact"/>
              <w:jc w:val="center"/>
              <w:rPr>
                <w:lang w:val="en-US"/>
              </w:rPr>
            </w:pPr>
            <w:r>
              <w:rPr>
                <w:lang w:val="en-US"/>
              </w:rPr>
              <w:t>86.98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2004</w:t>
            </w:r>
          </w:p>
        </w:tc>
        <w:tc>
          <w:tcPr>
            <w:tcW w:w="1417" w:type="dxa"/>
            <w:vAlign w:val="center"/>
          </w:tcPr>
          <w:p>
            <w:pPr>
              <w:spacing w:line="360" w:lineRule="exact"/>
              <w:jc w:val="center"/>
              <w:rPr>
                <w:lang w:val="en-US"/>
              </w:rPr>
            </w:pPr>
            <w:r>
              <w:rPr>
                <w:lang w:val="en-US"/>
              </w:rPr>
              <w:t>2449.03</w:t>
            </w:r>
          </w:p>
        </w:tc>
        <w:tc>
          <w:tcPr>
            <w:tcW w:w="2552" w:type="dxa"/>
            <w:vAlign w:val="center"/>
          </w:tcPr>
          <w:p>
            <w:pPr>
              <w:spacing w:line="360" w:lineRule="exact"/>
              <w:jc w:val="center"/>
              <w:rPr>
                <w:lang w:val="en-US"/>
              </w:rPr>
            </w:pPr>
            <w:r>
              <w:rPr>
                <w:lang w:val="en-US"/>
              </w:rPr>
              <w:t>2239.18</w:t>
            </w:r>
          </w:p>
        </w:tc>
        <w:tc>
          <w:tcPr>
            <w:tcW w:w="1134" w:type="dxa"/>
            <w:vAlign w:val="center"/>
          </w:tcPr>
          <w:p>
            <w:pPr>
              <w:spacing w:line="360" w:lineRule="exact"/>
              <w:jc w:val="center"/>
              <w:rPr>
                <w:lang w:val="en-US"/>
              </w:rPr>
            </w:pPr>
            <w:r>
              <w:rPr>
                <w:lang w:val="en-US"/>
              </w:rPr>
              <w:t>91.43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2005</w:t>
            </w:r>
          </w:p>
        </w:tc>
        <w:tc>
          <w:tcPr>
            <w:tcW w:w="1417" w:type="dxa"/>
            <w:vAlign w:val="center"/>
          </w:tcPr>
          <w:p>
            <w:pPr>
              <w:spacing w:line="360" w:lineRule="exact"/>
              <w:jc w:val="center"/>
              <w:rPr>
                <w:lang w:val="en-US"/>
              </w:rPr>
            </w:pPr>
            <w:r>
              <w:rPr>
                <w:lang w:val="en-US"/>
              </w:rPr>
              <w:t>5039.57</w:t>
            </w:r>
          </w:p>
        </w:tc>
        <w:tc>
          <w:tcPr>
            <w:tcW w:w="2552" w:type="dxa"/>
            <w:vAlign w:val="center"/>
          </w:tcPr>
          <w:p>
            <w:pPr>
              <w:spacing w:line="360" w:lineRule="exact"/>
              <w:jc w:val="center"/>
              <w:rPr>
                <w:lang w:val="en-US"/>
              </w:rPr>
            </w:pPr>
            <w:r>
              <w:rPr>
                <w:lang w:val="en-US"/>
              </w:rPr>
              <w:t>4680.90</w:t>
            </w:r>
          </w:p>
        </w:tc>
        <w:tc>
          <w:tcPr>
            <w:tcW w:w="1134" w:type="dxa"/>
            <w:vAlign w:val="center"/>
          </w:tcPr>
          <w:p>
            <w:pPr>
              <w:spacing w:line="360" w:lineRule="exact"/>
              <w:jc w:val="center"/>
              <w:rPr>
                <w:lang w:val="en-US"/>
              </w:rPr>
            </w:pPr>
            <w:r>
              <w:rPr>
                <w:lang w:val="en-US"/>
              </w:rPr>
              <w:t>92.88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2006</w:t>
            </w:r>
          </w:p>
        </w:tc>
        <w:tc>
          <w:tcPr>
            <w:tcW w:w="1417" w:type="dxa"/>
            <w:vAlign w:val="center"/>
          </w:tcPr>
          <w:p>
            <w:pPr>
              <w:spacing w:line="360" w:lineRule="exact"/>
              <w:jc w:val="center"/>
              <w:rPr>
                <w:lang w:val="en-US"/>
              </w:rPr>
            </w:pPr>
            <w:r>
              <w:rPr>
                <w:lang w:val="en-US"/>
              </w:rPr>
              <w:t>1218.31</w:t>
            </w:r>
          </w:p>
        </w:tc>
        <w:tc>
          <w:tcPr>
            <w:tcW w:w="2552" w:type="dxa"/>
            <w:vAlign w:val="center"/>
          </w:tcPr>
          <w:p>
            <w:pPr>
              <w:spacing w:line="360" w:lineRule="exact"/>
              <w:jc w:val="center"/>
              <w:rPr>
                <w:lang w:val="en-US"/>
              </w:rPr>
            </w:pPr>
            <w:r>
              <w:rPr>
                <w:lang w:val="en-US"/>
              </w:rPr>
              <w:t>1035.91</w:t>
            </w:r>
          </w:p>
        </w:tc>
        <w:tc>
          <w:tcPr>
            <w:tcW w:w="1134" w:type="dxa"/>
            <w:vAlign w:val="center"/>
          </w:tcPr>
          <w:p>
            <w:pPr>
              <w:spacing w:line="360" w:lineRule="exact"/>
              <w:jc w:val="center"/>
              <w:rPr>
                <w:lang w:val="en-US"/>
              </w:rPr>
            </w:pPr>
            <w:r>
              <w:rPr>
                <w:lang w:val="en-US"/>
              </w:rPr>
              <w:t>85.03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2007</w:t>
            </w:r>
          </w:p>
        </w:tc>
        <w:tc>
          <w:tcPr>
            <w:tcW w:w="1417" w:type="dxa"/>
            <w:vAlign w:val="center"/>
          </w:tcPr>
          <w:p>
            <w:pPr>
              <w:spacing w:line="360" w:lineRule="exact"/>
              <w:jc w:val="center"/>
              <w:rPr>
                <w:lang w:val="en-US"/>
              </w:rPr>
            </w:pPr>
            <w:r>
              <w:rPr>
                <w:lang w:val="en-US"/>
              </w:rPr>
              <w:t>999.43</w:t>
            </w:r>
          </w:p>
        </w:tc>
        <w:tc>
          <w:tcPr>
            <w:tcW w:w="2552" w:type="dxa"/>
            <w:vAlign w:val="center"/>
          </w:tcPr>
          <w:p>
            <w:pPr>
              <w:spacing w:line="360" w:lineRule="exact"/>
              <w:jc w:val="center"/>
              <w:rPr>
                <w:lang w:val="en-US"/>
              </w:rPr>
            </w:pPr>
            <w:r>
              <w:rPr>
                <w:lang w:val="en-US"/>
              </w:rPr>
              <w:t>880.54</w:t>
            </w:r>
          </w:p>
        </w:tc>
        <w:tc>
          <w:tcPr>
            <w:tcW w:w="1134" w:type="dxa"/>
            <w:vAlign w:val="center"/>
          </w:tcPr>
          <w:p>
            <w:pPr>
              <w:spacing w:line="360" w:lineRule="exact"/>
              <w:jc w:val="center"/>
              <w:rPr>
                <w:lang w:val="en-US"/>
              </w:rPr>
            </w:pPr>
            <w:r>
              <w:rPr>
                <w:lang w:val="en-US"/>
              </w:rPr>
              <w:t>88.10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2008</w:t>
            </w:r>
          </w:p>
        </w:tc>
        <w:tc>
          <w:tcPr>
            <w:tcW w:w="1417" w:type="dxa"/>
            <w:vAlign w:val="center"/>
          </w:tcPr>
          <w:p>
            <w:pPr>
              <w:spacing w:line="360" w:lineRule="exact"/>
              <w:jc w:val="center"/>
              <w:rPr>
                <w:lang w:val="en-US"/>
              </w:rPr>
            </w:pPr>
            <w:r>
              <w:rPr>
                <w:lang w:val="en-US"/>
              </w:rPr>
              <w:t>2402.41</w:t>
            </w:r>
          </w:p>
        </w:tc>
        <w:tc>
          <w:tcPr>
            <w:tcW w:w="2552" w:type="dxa"/>
            <w:vAlign w:val="center"/>
          </w:tcPr>
          <w:p>
            <w:pPr>
              <w:spacing w:line="360" w:lineRule="exact"/>
              <w:jc w:val="center"/>
              <w:rPr>
                <w:lang w:val="en-US"/>
              </w:rPr>
            </w:pPr>
            <w:r>
              <w:rPr>
                <w:lang w:val="en-US"/>
              </w:rPr>
              <w:t>2003.28</w:t>
            </w:r>
          </w:p>
        </w:tc>
        <w:tc>
          <w:tcPr>
            <w:tcW w:w="1134" w:type="dxa"/>
            <w:vAlign w:val="center"/>
          </w:tcPr>
          <w:p>
            <w:pPr>
              <w:spacing w:line="360" w:lineRule="exact"/>
              <w:jc w:val="center"/>
              <w:rPr>
                <w:lang w:val="en-US"/>
              </w:rPr>
            </w:pPr>
            <w:r>
              <w:rPr>
                <w:lang w:val="en-US"/>
              </w:rPr>
              <w:t>83.39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2009</w:t>
            </w:r>
          </w:p>
        </w:tc>
        <w:tc>
          <w:tcPr>
            <w:tcW w:w="1417" w:type="dxa"/>
            <w:vAlign w:val="center"/>
          </w:tcPr>
          <w:p>
            <w:pPr>
              <w:spacing w:line="360" w:lineRule="exact"/>
              <w:jc w:val="center"/>
              <w:rPr>
                <w:lang w:val="en-US"/>
              </w:rPr>
            </w:pPr>
            <w:r>
              <w:rPr>
                <w:lang w:val="en-US"/>
              </w:rPr>
              <w:t>1732.53</w:t>
            </w:r>
          </w:p>
        </w:tc>
        <w:tc>
          <w:tcPr>
            <w:tcW w:w="2552" w:type="dxa"/>
            <w:vAlign w:val="center"/>
          </w:tcPr>
          <w:p>
            <w:pPr>
              <w:spacing w:line="360" w:lineRule="exact"/>
              <w:jc w:val="center"/>
              <w:rPr>
                <w:lang w:val="en-US"/>
              </w:rPr>
            </w:pPr>
            <w:r>
              <w:rPr>
                <w:lang w:val="en-US"/>
              </w:rPr>
              <w:t>1612.22</w:t>
            </w:r>
          </w:p>
        </w:tc>
        <w:tc>
          <w:tcPr>
            <w:tcW w:w="1134" w:type="dxa"/>
            <w:vAlign w:val="center"/>
          </w:tcPr>
          <w:p>
            <w:pPr>
              <w:spacing w:line="360" w:lineRule="exact"/>
              <w:jc w:val="center"/>
              <w:rPr>
                <w:lang w:val="en-US"/>
              </w:rPr>
            </w:pPr>
            <w:r>
              <w:rPr>
                <w:lang w:val="en-US"/>
              </w:rPr>
              <w:t>93.06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2010</w:t>
            </w:r>
          </w:p>
        </w:tc>
        <w:tc>
          <w:tcPr>
            <w:tcW w:w="1417" w:type="dxa"/>
            <w:vAlign w:val="center"/>
          </w:tcPr>
          <w:p>
            <w:pPr>
              <w:spacing w:line="360" w:lineRule="exact"/>
              <w:jc w:val="center"/>
              <w:rPr>
                <w:lang w:val="en-US"/>
              </w:rPr>
            </w:pPr>
            <w:r>
              <w:rPr>
                <w:lang w:val="en-US"/>
              </w:rPr>
              <w:t>2404.83</w:t>
            </w:r>
          </w:p>
        </w:tc>
        <w:tc>
          <w:tcPr>
            <w:tcW w:w="2552" w:type="dxa"/>
            <w:vAlign w:val="center"/>
          </w:tcPr>
          <w:p>
            <w:pPr>
              <w:spacing w:line="360" w:lineRule="exact"/>
              <w:jc w:val="center"/>
              <w:rPr>
                <w:lang w:val="en-US"/>
              </w:rPr>
            </w:pPr>
            <w:r>
              <w:rPr>
                <w:lang w:val="en-US"/>
              </w:rPr>
              <w:t>1940.96</w:t>
            </w:r>
          </w:p>
        </w:tc>
        <w:tc>
          <w:tcPr>
            <w:tcW w:w="1134" w:type="dxa"/>
            <w:vAlign w:val="center"/>
          </w:tcPr>
          <w:p>
            <w:pPr>
              <w:spacing w:line="360" w:lineRule="exact"/>
              <w:jc w:val="center"/>
              <w:rPr>
                <w:lang w:val="en-US"/>
              </w:rPr>
            </w:pPr>
            <w:r>
              <w:rPr>
                <w:lang w:val="en-US"/>
              </w:rPr>
              <w:t>80.71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2011</w:t>
            </w:r>
          </w:p>
        </w:tc>
        <w:tc>
          <w:tcPr>
            <w:tcW w:w="1417" w:type="dxa"/>
            <w:vAlign w:val="center"/>
          </w:tcPr>
          <w:p>
            <w:pPr>
              <w:spacing w:line="360" w:lineRule="exact"/>
              <w:jc w:val="center"/>
              <w:rPr>
                <w:lang w:val="en-US"/>
              </w:rPr>
            </w:pPr>
            <w:r>
              <w:rPr>
                <w:lang w:val="en-US"/>
              </w:rPr>
              <w:t>6114.98</w:t>
            </w:r>
          </w:p>
        </w:tc>
        <w:tc>
          <w:tcPr>
            <w:tcW w:w="2552" w:type="dxa"/>
            <w:vAlign w:val="center"/>
          </w:tcPr>
          <w:p>
            <w:pPr>
              <w:spacing w:line="360" w:lineRule="exact"/>
              <w:jc w:val="center"/>
              <w:rPr>
                <w:lang w:val="en-US"/>
              </w:rPr>
            </w:pPr>
            <w:r>
              <w:rPr>
                <w:lang w:val="en-US"/>
              </w:rPr>
              <w:t>5797.60</w:t>
            </w:r>
          </w:p>
        </w:tc>
        <w:tc>
          <w:tcPr>
            <w:tcW w:w="1134" w:type="dxa"/>
            <w:vAlign w:val="center"/>
          </w:tcPr>
          <w:p>
            <w:pPr>
              <w:spacing w:line="360" w:lineRule="exact"/>
              <w:jc w:val="center"/>
              <w:rPr>
                <w:lang w:val="en-US"/>
              </w:rPr>
            </w:pPr>
            <w:r>
              <w:rPr>
                <w:lang w:val="en-US"/>
              </w:rPr>
              <w:t>94.81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2012</w:t>
            </w:r>
          </w:p>
        </w:tc>
        <w:tc>
          <w:tcPr>
            <w:tcW w:w="1417" w:type="dxa"/>
            <w:vAlign w:val="center"/>
          </w:tcPr>
          <w:p>
            <w:pPr>
              <w:spacing w:line="360" w:lineRule="exact"/>
              <w:jc w:val="center"/>
              <w:rPr>
                <w:lang w:val="en-US"/>
              </w:rPr>
            </w:pPr>
            <w:r>
              <w:rPr>
                <w:lang w:val="en-US"/>
              </w:rPr>
              <w:t>3354.88</w:t>
            </w:r>
          </w:p>
        </w:tc>
        <w:tc>
          <w:tcPr>
            <w:tcW w:w="2552" w:type="dxa"/>
            <w:vAlign w:val="center"/>
          </w:tcPr>
          <w:p>
            <w:pPr>
              <w:spacing w:line="360" w:lineRule="exact"/>
              <w:jc w:val="center"/>
              <w:rPr>
                <w:lang w:val="en-US"/>
              </w:rPr>
            </w:pPr>
            <w:r>
              <w:rPr>
                <w:lang w:val="en-US"/>
              </w:rPr>
              <w:t>2986.25</w:t>
            </w:r>
          </w:p>
        </w:tc>
        <w:tc>
          <w:tcPr>
            <w:tcW w:w="1134" w:type="dxa"/>
            <w:vAlign w:val="center"/>
          </w:tcPr>
          <w:p>
            <w:pPr>
              <w:spacing w:line="360" w:lineRule="exact"/>
              <w:jc w:val="center"/>
              <w:rPr>
                <w:lang w:val="en-US"/>
              </w:rPr>
            </w:pPr>
            <w:r>
              <w:rPr>
                <w:lang w:val="en-US"/>
              </w:rPr>
              <w:t>89.01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2013</w:t>
            </w:r>
          </w:p>
        </w:tc>
        <w:tc>
          <w:tcPr>
            <w:tcW w:w="1417" w:type="dxa"/>
            <w:vAlign w:val="center"/>
          </w:tcPr>
          <w:p>
            <w:pPr>
              <w:spacing w:line="360" w:lineRule="exact"/>
              <w:jc w:val="center"/>
              <w:rPr>
                <w:lang w:val="en-US"/>
              </w:rPr>
            </w:pPr>
            <w:r>
              <w:rPr>
                <w:lang w:val="en-US"/>
              </w:rPr>
              <w:t>3679.59</w:t>
            </w:r>
          </w:p>
        </w:tc>
        <w:tc>
          <w:tcPr>
            <w:tcW w:w="2552" w:type="dxa"/>
            <w:vAlign w:val="center"/>
          </w:tcPr>
          <w:p>
            <w:pPr>
              <w:spacing w:line="360" w:lineRule="exact"/>
              <w:jc w:val="center"/>
              <w:rPr>
                <w:lang w:val="en-US"/>
              </w:rPr>
            </w:pPr>
            <w:r>
              <w:rPr>
                <w:lang w:val="en-US"/>
              </w:rPr>
              <w:t>3537.55</w:t>
            </w:r>
          </w:p>
        </w:tc>
        <w:tc>
          <w:tcPr>
            <w:tcW w:w="1134" w:type="dxa"/>
            <w:vAlign w:val="center"/>
          </w:tcPr>
          <w:p>
            <w:pPr>
              <w:spacing w:line="360" w:lineRule="exact"/>
              <w:jc w:val="center"/>
              <w:rPr>
                <w:lang w:val="en-US"/>
              </w:rPr>
            </w:pPr>
            <w:r>
              <w:rPr>
                <w:lang w:val="en-US"/>
              </w:rPr>
              <w:t>96.14</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3</w:t>
            </w:r>
          </w:p>
        </w:tc>
        <w:tc>
          <w:tcPr>
            <w:tcW w:w="1417" w:type="dxa"/>
            <w:vAlign w:val="center"/>
          </w:tcPr>
          <w:p>
            <w:pPr>
              <w:spacing w:line="360" w:lineRule="exact"/>
              <w:jc w:val="center"/>
              <w:rPr>
                <w:lang w:val="en-US"/>
              </w:rPr>
            </w:pPr>
            <w:r>
              <w:rPr>
                <w:lang w:val="en-US"/>
              </w:rPr>
              <w:t>11124.40</w:t>
            </w:r>
          </w:p>
        </w:tc>
        <w:tc>
          <w:tcPr>
            <w:tcW w:w="2552" w:type="dxa"/>
            <w:vAlign w:val="center"/>
          </w:tcPr>
          <w:p>
            <w:pPr>
              <w:spacing w:line="360" w:lineRule="exact"/>
              <w:jc w:val="center"/>
              <w:rPr>
                <w:lang w:val="en-US"/>
              </w:rPr>
            </w:pPr>
            <w:r>
              <w:rPr>
                <w:lang w:val="en-US"/>
              </w:rPr>
              <w:t>10689.10</w:t>
            </w:r>
          </w:p>
        </w:tc>
        <w:tc>
          <w:tcPr>
            <w:tcW w:w="1134" w:type="dxa"/>
            <w:vAlign w:val="center"/>
          </w:tcPr>
          <w:p>
            <w:pPr>
              <w:spacing w:line="360" w:lineRule="exact"/>
              <w:jc w:val="center"/>
              <w:rPr>
                <w:lang w:val="en-US"/>
              </w:rPr>
            </w:pPr>
            <w:r>
              <w:rPr>
                <w:lang w:val="en-US"/>
              </w:rPr>
              <w:t>96.09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3001</w:t>
            </w:r>
          </w:p>
        </w:tc>
        <w:tc>
          <w:tcPr>
            <w:tcW w:w="1417" w:type="dxa"/>
            <w:vAlign w:val="center"/>
          </w:tcPr>
          <w:p>
            <w:pPr>
              <w:spacing w:line="360" w:lineRule="exact"/>
              <w:jc w:val="center"/>
              <w:rPr>
                <w:lang w:val="en-US"/>
              </w:rPr>
            </w:pPr>
            <w:r>
              <w:rPr>
                <w:lang w:val="en-US"/>
              </w:rPr>
              <w:t>2361.13</w:t>
            </w:r>
          </w:p>
        </w:tc>
        <w:tc>
          <w:tcPr>
            <w:tcW w:w="2552" w:type="dxa"/>
            <w:vAlign w:val="center"/>
          </w:tcPr>
          <w:p>
            <w:pPr>
              <w:spacing w:line="360" w:lineRule="exact"/>
              <w:jc w:val="center"/>
              <w:rPr>
                <w:lang w:val="en-US"/>
              </w:rPr>
            </w:pPr>
            <w:r>
              <w:rPr>
                <w:lang w:val="en-US"/>
              </w:rPr>
              <w:t>2120.38</w:t>
            </w:r>
          </w:p>
        </w:tc>
        <w:tc>
          <w:tcPr>
            <w:tcW w:w="1134" w:type="dxa"/>
            <w:vAlign w:val="center"/>
          </w:tcPr>
          <w:p>
            <w:pPr>
              <w:spacing w:line="360" w:lineRule="exact"/>
              <w:jc w:val="center"/>
              <w:rPr>
                <w:lang w:val="en-US"/>
              </w:rPr>
            </w:pPr>
            <w:r>
              <w:rPr>
                <w:lang w:val="en-US"/>
              </w:rPr>
              <w:t>89.80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4</w:t>
            </w:r>
          </w:p>
        </w:tc>
        <w:tc>
          <w:tcPr>
            <w:tcW w:w="1417" w:type="dxa"/>
            <w:vAlign w:val="center"/>
          </w:tcPr>
          <w:p>
            <w:pPr>
              <w:spacing w:line="360" w:lineRule="exact"/>
              <w:jc w:val="center"/>
              <w:rPr>
                <w:lang w:val="en-US"/>
              </w:rPr>
            </w:pPr>
            <w:r>
              <w:rPr>
                <w:lang w:val="en-US"/>
              </w:rPr>
              <w:t>3625.83</w:t>
            </w:r>
          </w:p>
        </w:tc>
        <w:tc>
          <w:tcPr>
            <w:tcW w:w="2552" w:type="dxa"/>
            <w:vAlign w:val="center"/>
          </w:tcPr>
          <w:p>
            <w:pPr>
              <w:spacing w:line="360" w:lineRule="exact"/>
              <w:jc w:val="center"/>
              <w:rPr>
                <w:lang w:val="en-US"/>
              </w:rPr>
            </w:pPr>
            <w:r>
              <w:rPr>
                <w:lang w:val="en-US"/>
              </w:rPr>
              <w:t>3277.88</w:t>
            </w:r>
          </w:p>
        </w:tc>
        <w:tc>
          <w:tcPr>
            <w:tcW w:w="1134" w:type="dxa"/>
            <w:vAlign w:val="center"/>
          </w:tcPr>
          <w:p>
            <w:pPr>
              <w:spacing w:line="360" w:lineRule="exact"/>
              <w:jc w:val="center"/>
              <w:rPr>
                <w:lang w:val="en-US"/>
              </w:rPr>
            </w:pPr>
            <w:r>
              <w:rPr>
                <w:lang w:val="en-US"/>
              </w:rPr>
              <w:t>90.40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w:t>
            </w:r>
          </w:p>
        </w:tc>
        <w:tc>
          <w:tcPr>
            <w:tcW w:w="1417" w:type="dxa"/>
            <w:vAlign w:val="center"/>
          </w:tcPr>
          <w:p>
            <w:pPr>
              <w:spacing w:line="360" w:lineRule="exact"/>
              <w:jc w:val="center"/>
              <w:rPr>
                <w:lang w:val="en-US"/>
              </w:rPr>
            </w:pPr>
            <w:r>
              <w:rPr>
                <w:lang w:val="en-US"/>
              </w:rPr>
              <w:t>1.21</w:t>
            </w:r>
          </w:p>
        </w:tc>
        <w:tc>
          <w:tcPr>
            <w:tcW w:w="2552" w:type="dxa"/>
            <w:vAlign w:val="center"/>
          </w:tcPr>
          <w:p>
            <w:pPr>
              <w:spacing w:line="360" w:lineRule="exact"/>
              <w:jc w:val="center"/>
              <w:rPr>
                <w:lang w:val="en-US"/>
              </w:rPr>
            </w:pPr>
            <w:r>
              <w:rPr>
                <w:lang w:val="en-US"/>
              </w:rPr>
              <w:t>1.21</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
        <w:rPr>
          <w:rFonts w:hint="eastAsia"/>
        </w:rPr>
        <w:t xml:space="preserve"> </w:t>
      </w:r>
      <w:bookmarkEnd w:id="31"/>
    </w:p>
    <w:p>
      <w:pPr>
        <w:rPr>
          <w:lang w:val="en-US"/>
        </w:rPr>
      </w:pPr>
      <w:r>
        <w:rPr>
          <w:rFonts w:hint="eastAsia"/>
          <w:lang w:val="en-US"/>
        </w:rPr>
        <w:t>结论：本项目中所有建筑均满足“50%以上可开启外窗室内外表面的风压差大于0.5Pa”的要求。</w:t>
      </w:r>
      <w:bookmarkEnd w:id="32"/>
      <w:r>
        <w:rPr>
          <w:rFonts w:hint="eastAsia"/>
          <w:lang w:val="en-US"/>
        </w:rPr>
        <w:t xml:space="preserve"> </w:t>
      </w:r>
    </w:p>
    <w:p>
      <w:pPr>
        <w:rPr>
          <w:lang w:val="en-US"/>
        </w:rPr>
      </w:pPr>
      <w:bookmarkStart w:id="152" w:name="其他工况"/>
      <w:bookmarkEnd w:id="152"/>
      <w:r>
        <w:rPr>
          <w:rFonts w:hint="eastAsia"/>
          <w:lang w:val="en-US"/>
        </w:rPr>
        <w:t xml:space="preserve"> </w:t>
      </w:r>
    </w:p>
    <w:p>
      <w:pPr>
        <w:pStyle w:val="4"/>
      </w:pPr>
      <w:bookmarkStart w:id="153" w:name="_Toc509844764"/>
      <w:bookmarkStart w:id="154" w:name="_Toc21787"/>
      <w:r>
        <w:rPr>
          <w:rFonts w:hint="eastAsia"/>
        </w:rPr>
        <w:t>结论</w:t>
      </w:r>
      <w:bookmarkEnd w:id="153"/>
      <w:bookmarkEnd w:id="154"/>
    </w:p>
    <w:p>
      <w:pPr>
        <w:pStyle w:val="5"/>
      </w:pPr>
      <w:bookmarkStart w:id="155" w:name="_Toc509844765"/>
      <w:bookmarkStart w:id="156" w:name="_Toc7110"/>
      <w:r>
        <w:rPr>
          <w:rFonts w:hint="eastAsia"/>
        </w:rPr>
        <w:t>冬季工况达标判断</w:t>
      </w:r>
      <w:bookmarkEnd w:id="155"/>
      <w:bookmarkEnd w:id="156"/>
      <w:bookmarkStart w:id="157" w:name="_Toc509844766"/>
      <w:bookmarkEnd w:id="157"/>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58" w:name="标准要求冬季风速得分"/>
            <w:r>
              <w:rPr>
                <w:rFonts w:hint="eastAsia"/>
                <w:lang w:val="en-US"/>
              </w:rPr>
              <w:t>3</w:t>
            </w:r>
            <w:bookmarkEnd w:id="158"/>
            <w:r>
              <w:rPr>
                <w:rFonts w:hint="eastAsia"/>
                <w:lang w:val="en-US"/>
              </w:rPr>
              <w:t>分；</w:t>
            </w:r>
          </w:p>
        </w:tc>
        <w:tc>
          <w:tcPr>
            <w:tcW w:w="1985" w:type="dxa"/>
            <w:tcBorders>
              <w:top w:val="single" w:color="auto" w:sz="4" w:space="0"/>
            </w:tcBorders>
            <w:shd w:val="clear" w:color="auto" w:fill="auto"/>
            <w:vAlign w:val="center"/>
          </w:tcPr>
          <w:p>
            <w:pPr>
              <w:jc w:val="center"/>
              <w:rPr>
                <w:lang w:val="en-US"/>
              </w:rPr>
            </w:pPr>
            <w:r>
              <w:rPr>
                <w:rFonts w:hint="eastAsia"/>
                <w:lang w:val="en-US"/>
              </w:rPr>
              <w:t>计算域</w:t>
            </w:r>
            <w:bookmarkStart w:id="159" w:name="冬季风速结果计算域"/>
            <w:r>
              <w:t>没有出现</w:t>
            </w:r>
            <w:bookmarkEnd w:id="159"/>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pPr>
              <w:jc w:val="center"/>
              <w:rPr>
                <w:b/>
                <w:lang w:val="en-US"/>
              </w:rPr>
            </w:pPr>
            <w:bookmarkStart w:id="160" w:name="冬季风速达标判定"/>
            <w:r>
              <w:rPr>
                <w:rFonts w:hint="eastAsia"/>
                <w:b/>
                <w:lang w:val="en-US"/>
              </w:rPr>
              <w:t>达标</w:t>
            </w:r>
            <w:bookmarkEnd w:id="160"/>
          </w:p>
        </w:tc>
        <w:tc>
          <w:tcPr>
            <w:tcW w:w="1416" w:type="dxa"/>
            <w:vMerge w:val="restart"/>
            <w:tcBorders>
              <w:top w:val="single" w:color="auto" w:sz="4" w:space="0"/>
            </w:tcBorders>
            <w:shd w:val="clear" w:color="auto" w:fill="auto"/>
            <w:vAlign w:val="center"/>
          </w:tcPr>
          <w:p>
            <w:pPr>
              <w:jc w:val="center"/>
              <w:rPr>
                <w:lang w:val="en-US"/>
              </w:rPr>
            </w:pPr>
            <w:bookmarkStart w:id="161" w:name="冬季风速得分"/>
            <w:r>
              <w:rPr>
                <w:rFonts w:hint="eastAsia"/>
                <w:lang w:val="en-US"/>
              </w:rPr>
              <w:t>3</w:t>
            </w:r>
            <w:bookmarkEnd w:id="161"/>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计算域</w:t>
            </w:r>
            <w:bookmarkStart w:id="162" w:name="冬季风速放大系数结果计算域"/>
            <w:r>
              <w:t>没有出现</w:t>
            </w:r>
            <w:bookmarkEnd w:id="162"/>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63" w:name="标准要求冬季风压得分"/>
            <w:r>
              <w:rPr>
                <w:rFonts w:hint="eastAsia"/>
                <w:lang w:val="en-US"/>
              </w:rPr>
              <w:t>2</w:t>
            </w:r>
            <w:bookmarkEnd w:id="163"/>
            <w:r>
              <w:rPr>
                <w:rFonts w:hint="eastAsia"/>
                <w:lang w:val="en-US"/>
              </w:rPr>
              <w:t>分</w:t>
            </w:r>
            <w:r>
              <w:rPr>
                <w:lang w:val="en-US"/>
              </w:rPr>
              <w:t>未出现风速超标区域</w:t>
            </w:r>
          </w:p>
        </w:tc>
        <w:tc>
          <w:tcPr>
            <w:tcW w:w="1985" w:type="dxa"/>
            <w:shd w:val="clear" w:color="auto" w:fill="auto"/>
            <w:vAlign w:val="center"/>
          </w:tcPr>
          <w:p>
            <w:pPr>
              <w:jc w:val="center"/>
              <w:rPr>
                <w:lang w:val="en-US"/>
              </w:rPr>
            </w:pPr>
            <w:r>
              <w:rPr>
                <w:rFonts w:hint="eastAsia"/>
                <w:lang w:val="en-US"/>
              </w:rPr>
              <w:t>本项目</w:t>
            </w:r>
            <w:bookmarkStart w:id="164" w:name="冬季迎背风面结果"/>
            <w:r>
              <w:t>没有出现</w:t>
            </w:r>
            <w:bookmarkEnd w:id="164"/>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65" w:name="冬季迎背风面达标判定"/>
            <w:r>
              <w:rPr>
                <w:rFonts w:hint="eastAsia"/>
                <w:b/>
                <w:lang w:val="en-US"/>
              </w:rPr>
              <w:t>达标</w:t>
            </w:r>
            <w:bookmarkEnd w:id="165"/>
          </w:p>
        </w:tc>
        <w:tc>
          <w:tcPr>
            <w:tcW w:w="1416" w:type="dxa"/>
            <w:shd w:val="clear" w:color="auto" w:fill="auto"/>
            <w:vAlign w:val="center"/>
          </w:tcPr>
          <w:p>
            <w:pPr>
              <w:jc w:val="center"/>
              <w:rPr>
                <w:lang w:val="en-US"/>
              </w:rPr>
            </w:pPr>
            <w:bookmarkStart w:id="166" w:name="冬季迎背风面得分"/>
            <w:r>
              <w:rPr>
                <w:rFonts w:hint="eastAsia"/>
                <w:lang w:val="en-US"/>
              </w:rPr>
              <w:t>2</w:t>
            </w:r>
            <w:bookmarkEnd w:id="166"/>
            <w:r>
              <w:rPr>
                <w:rFonts w:hint="eastAsia"/>
                <w:lang w:val="en-US"/>
              </w:rPr>
              <w:t>分</w:t>
            </w:r>
          </w:p>
        </w:tc>
      </w:tr>
    </w:tbl>
    <w:p>
      <w:pPr>
        <w:rPr>
          <w:szCs w:val="21"/>
          <w:lang w:val="en-US"/>
        </w:rPr>
      </w:pPr>
      <w:bookmarkStart w:id="167" w:name="_Toc509844767"/>
      <w:bookmarkEnd w:id="167"/>
      <w:bookmarkStart w:id="168" w:name="_Toc509844768"/>
      <w:bookmarkEnd w:id="168"/>
    </w:p>
    <w:p>
      <w:pPr>
        <w:pStyle w:val="5"/>
      </w:pPr>
      <w:bookmarkStart w:id="169" w:name="_Toc509844769"/>
      <w:bookmarkStart w:id="170" w:name="_Toc29700"/>
      <w:r>
        <w:rPr>
          <w:rFonts w:hint="eastAsia"/>
        </w:rPr>
        <w:t>过渡季、夏季工况达标判断</w:t>
      </w:r>
      <w:bookmarkEnd w:id="169"/>
      <w:bookmarkEnd w:id="170"/>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1" w:name="标准要求夏季风速得分"/>
            <w:r>
              <w:rPr>
                <w:rFonts w:hint="eastAsia"/>
                <w:lang w:val="en-US"/>
              </w:rPr>
              <w:t>3</w:t>
            </w:r>
            <w:bookmarkEnd w:id="171"/>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计算域</w:t>
            </w:r>
            <w:bookmarkStart w:id="172" w:name="夏季无风区结果计算域"/>
            <w:r>
              <w:rPr>
                <w:rFonts w:hint="eastAsia"/>
                <w:lang w:val="en-US"/>
              </w:rPr>
              <w:t>无</w:t>
            </w:r>
            <w:bookmarkEnd w:id="172"/>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bookmarkStart w:id="173" w:name="夏季无风区达标判定"/>
            <w:r>
              <w:rPr>
                <w:rFonts w:hint="eastAsia"/>
                <w:b/>
                <w:lang w:val="en-US"/>
              </w:rPr>
              <w:t>达标</w:t>
            </w:r>
            <w:bookmarkEnd w:id="173"/>
          </w:p>
        </w:tc>
        <w:tc>
          <w:tcPr>
            <w:tcW w:w="1416" w:type="dxa"/>
            <w:vMerge w:val="restart"/>
            <w:tcBorders>
              <w:top w:val="single" w:color="auto" w:sz="4" w:space="0"/>
            </w:tcBorders>
            <w:shd w:val="clear" w:color="auto" w:fill="auto"/>
            <w:vAlign w:val="center"/>
          </w:tcPr>
          <w:p>
            <w:pPr>
              <w:jc w:val="center"/>
              <w:rPr>
                <w:lang w:val="en-US"/>
              </w:rPr>
            </w:pPr>
            <w:bookmarkStart w:id="174" w:name="夏季无风区得分"/>
            <w:r>
              <w:rPr>
                <w:rFonts w:hint="eastAsia"/>
                <w:lang w:val="en-US"/>
              </w:rPr>
              <w:t>3</w:t>
            </w:r>
            <w:bookmarkEnd w:id="174"/>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计算域无旋涡区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5" w:name="标准要求夏季风压得分"/>
            <w:r>
              <w:rPr>
                <w:rFonts w:hint="eastAsia"/>
                <w:lang w:val="en-US"/>
              </w:rPr>
              <w:t>2</w:t>
            </w:r>
            <w:bookmarkEnd w:id="175"/>
            <w:r>
              <w:rPr>
                <w:rFonts w:hint="eastAsia"/>
                <w:lang w:val="en-US"/>
              </w:rPr>
              <w:t>分。</w:t>
            </w:r>
          </w:p>
        </w:tc>
        <w:tc>
          <w:tcPr>
            <w:tcW w:w="1985" w:type="dxa"/>
            <w:shd w:val="clear" w:color="auto" w:fill="auto"/>
            <w:vAlign w:val="center"/>
          </w:tcPr>
          <w:p>
            <w:pPr>
              <w:jc w:val="center"/>
              <w:rPr>
                <w:lang w:val="en-US"/>
              </w:rPr>
            </w:pPr>
            <w:r>
              <w:rPr>
                <w:rFonts w:hint="eastAsia"/>
                <w:b/>
                <w:lang w:val="en-US"/>
              </w:rPr>
              <w:t>可开启外窗室内外表面的风压差</w:t>
            </w:r>
            <w:bookmarkStart w:id="176" w:name="夏季窗内外风压差结果"/>
            <w:r>
              <w:rPr>
                <w:rFonts w:hint="eastAsia"/>
                <w:lang w:val="en-US"/>
              </w:rPr>
              <w:t>满足</w:t>
            </w:r>
            <w:bookmarkEnd w:id="176"/>
            <w:r>
              <w:rPr>
                <w:rFonts w:hint="eastAsia"/>
                <w:lang w:val="en-US"/>
              </w:rPr>
              <w:t>标准要求</w:t>
            </w:r>
          </w:p>
        </w:tc>
        <w:tc>
          <w:tcPr>
            <w:tcW w:w="1985" w:type="dxa"/>
            <w:shd w:val="clear" w:color="auto" w:fill="auto"/>
            <w:vAlign w:val="center"/>
          </w:tcPr>
          <w:p>
            <w:pPr>
              <w:jc w:val="center"/>
              <w:rPr>
                <w:b/>
                <w:lang w:val="en-US"/>
              </w:rPr>
            </w:pPr>
            <w:bookmarkStart w:id="177" w:name="夏季窗内外风压差达标判定"/>
            <w:r>
              <w:rPr>
                <w:rFonts w:hint="eastAsia"/>
                <w:b/>
                <w:lang w:val="en-US"/>
              </w:rPr>
              <w:t>达标</w:t>
            </w:r>
            <w:bookmarkEnd w:id="177"/>
          </w:p>
        </w:tc>
        <w:tc>
          <w:tcPr>
            <w:tcW w:w="1416" w:type="dxa"/>
            <w:shd w:val="clear" w:color="auto" w:fill="auto"/>
            <w:vAlign w:val="center"/>
          </w:tcPr>
          <w:p>
            <w:pPr>
              <w:jc w:val="center"/>
              <w:rPr>
                <w:lang w:val="en-US"/>
              </w:rPr>
            </w:pPr>
            <w:bookmarkStart w:id="178" w:name="夏季窗内外风压差得分"/>
            <w:r>
              <w:rPr>
                <w:rFonts w:hint="eastAsia"/>
                <w:lang w:val="en-US"/>
              </w:rPr>
              <w:t>2</w:t>
            </w:r>
            <w:bookmarkEnd w:id="178"/>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179" w:name="总得分"/>
      <w:r>
        <w:rPr>
          <w:rFonts w:hint="eastAsia"/>
          <w:lang w:val="en-US"/>
        </w:rPr>
        <w:t>10</w:t>
      </w:r>
      <w:bookmarkEnd w:id="179"/>
      <w:r>
        <w:rPr>
          <w:rFonts w:hint="eastAsia"/>
          <w:lang w:val="en-US"/>
        </w:rPr>
        <w:t>分。</w:t>
      </w:r>
    </w:p>
    <w:p>
      <w:pPr>
        <w:pStyle w:val="4"/>
      </w:pPr>
      <w:bookmarkStart w:id="180" w:name="_Toc10872"/>
      <w:bookmarkStart w:id="181" w:name="附录"/>
      <w:r>
        <w:rPr>
          <w:rFonts w:hint="eastAsia"/>
        </w:rPr>
        <w:t>附录</w:t>
      </w:r>
      <w:bookmarkEnd w:id="180"/>
    </w:p>
    <w:p>
      <w:pPr>
        <w:pStyle w:val="5"/>
      </w:pPr>
      <w:bookmarkStart w:id="182" w:name="_Toc15807"/>
      <w:r>
        <w:rPr>
          <w:rFonts w:hint="eastAsia"/>
        </w:rPr>
        <w:t>参评建筑迎背风面窗平均风压差表</w:t>
      </w:r>
      <w:bookmarkEnd w:id="182"/>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-单体</w:t>
      </w:r>
      <w:bookmarkEnd w:id="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-1.94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-1.52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-1.67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-1.25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-1.43</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-1.62</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0.19</w:t>
            </w:r>
          </w:p>
        </w:tc>
      </w:tr>
      <w:bookmarkEnd w:id="0"/>
      <w:bookmarkEnd w:id="2"/>
    </w:tbl>
    <w:p/>
    <w:p>
      <w:pPr>
        <w:pStyle w:val="3"/>
        <w:ind w:firstLine="420"/>
        <w:rPr>
          <w:lang w:val="en-US"/>
        </w:rPr>
      </w:pPr>
      <w:bookmarkStart w:id="183" w:name="迎风建筑信息参评"/>
      <w:bookmarkEnd w:id="183"/>
    </w:p>
    <w:p>
      <w:pPr>
        <w:pStyle w:val="5"/>
      </w:pPr>
      <w:bookmarkStart w:id="184" w:name="_Toc17268"/>
      <w:r>
        <w:rPr>
          <w:rFonts w:hint="eastAsia"/>
        </w:rPr>
        <w:t>不参评建筑迎背风面窗平均风压差表</w:t>
      </w:r>
      <w:bookmarkEnd w:id="184"/>
    </w:p>
    <w:p>
      <w:pPr>
        <w:pStyle w:val="3"/>
        <w:ind w:firstLine="420"/>
        <w:rPr>
          <w:lang w:val="en-US"/>
        </w:rPr>
      </w:pPr>
      <w:bookmarkStart w:id="185" w:name="迎风建筑信息不参评"/>
      <w:bookmarkEnd w:id="185"/>
    </w:p>
    <w:bookmarkEnd w:id="181"/>
    <w:p>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jN2ZiNzJkZjgxMWZhMDY4MmJjMzE0NWVkZmE2YjYifQ=="/>
    <w:docVar w:name="KSO_WPS_MARK_KEY" w:val="3b96b853-76a9-46e5-bf55-09dd166bb7d0"/>
  </w:docVars>
  <w:rsids>
    <w:rsidRoot w:val="38F82291"/>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38F822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uiPriority w:val="39"/>
    <w:pPr>
      <w:tabs>
        <w:tab w:val="left" w:leader="dot" w:pos="180"/>
        <w:tab w:val="left" w:pos="420"/>
        <w:tab w:val="right" w:leader="dot" w:pos="9360"/>
      </w:tabs>
    </w:pPr>
    <w:rPr>
      <w:b/>
      <w:bCs/>
      <w:kern w:val="2"/>
      <w:szCs w:val="24"/>
      <w:lang w:val="en-US"/>
    </w:rPr>
  </w:style>
  <w:style w:type="paragraph" w:styleId="20">
    <w:name w:val="toc 2"/>
    <w:basedOn w:val="1"/>
    <w:next w:val="1"/>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9" Type="http://schemas.openxmlformats.org/officeDocument/2006/relationships/fontTable" Target="fontTable.xml"/><Relationship Id="rId88" Type="http://schemas.openxmlformats.org/officeDocument/2006/relationships/customXml" Target="../customXml/item1.xml"/><Relationship Id="rId87" Type="http://schemas.openxmlformats.org/officeDocument/2006/relationships/numbering" Target="numbering.xml"/><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wmf"/><Relationship Id="rId71" Type="http://schemas.openxmlformats.org/officeDocument/2006/relationships/oleObject" Target="embeddings/oleObject7.bin"/><Relationship Id="rId70" Type="http://schemas.openxmlformats.org/officeDocument/2006/relationships/image" Target="media/image57.wmf"/><Relationship Id="rId7" Type="http://schemas.openxmlformats.org/officeDocument/2006/relationships/footer" Target="footer2.xml"/><Relationship Id="rId69" Type="http://schemas.openxmlformats.org/officeDocument/2006/relationships/oleObject" Target="embeddings/oleObject6.bin"/><Relationship Id="rId68" Type="http://schemas.openxmlformats.org/officeDocument/2006/relationships/image" Target="media/image56.wmf"/><Relationship Id="rId67" Type="http://schemas.openxmlformats.org/officeDocument/2006/relationships/oleObject" Target="embeddings/oleObject5.bin"/><Relationship Id="rId66" Type="http://schemas.openxmlformats.org/officeDocument/2006/relationships/image" Target="media/image55.wmf"/><Relationship Id="rId65" Type="http://schemas.openxmlformats.org/officeDocument/2006/relationships/oleObject" Target="embeddings/oleObject4.bin"/><Relationship Id="rId64" Type="http://schemas.openxmlformats.org/officeDocument/2006/relationships/image" Target="media/image54.wmf"/><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datastoreItem>
</file>

<file path=docProps/app.xml><?xml version="1.0" encoding="utf-8"?>
<Properties xmlns="http://schemas.openxmlformats.org/officeDocument/2006/extended-properties" xmlns:vt="http://schemas.openxmlformats.org/officeDocument/2006/docPropsVTypes">
  <Template>tmp6.dotx</Template>
  <Pages>32</Pages>
  <Words>8034</Words>
  <Characters>10706</Characters>
  <Lines>42</Lines>
  <Paragraphs>11</Paragraphs>
  <TotalTime>0</TotalTime>
  <ScaleCrop>false</ScaleCrop>
  <LinksUpToDate>false</LinksUpToDate>
  <CharactersWithSpaces>17552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2025-03-15T13:14:00Z</dcterms:created>
  <dc:creator>✘Monsters️</dc:creator>
  <cp:lastModifiedBy>✘Monsters️</cp:lastModifiedBy>
  <dcterms:modified xsi:type="dcterms:W3CDTF">2025-03-15T13:15:22Z</dcterms:modified>
  <dc:title>室外风环境模拟分析报告</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3D5CB94515044345B57920AEDE05EF80_11</vt:lpwstr>
  </property>
  <property fmtid="{D5CDD505-2E9C-101B-9397-08002B2CF9AE}" pid="3" name="KSOProductBuildVer">
    <vt:lpwstr>2052-11.1.0.14036</vt:lpwstr>
  </property>
</Properties>
</file>