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呼和浩特</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2025年03月14日</w:t>
            </w:r>
            <w:bookmarkEnd w:id="5"/>
          </w:p>
        </w:tc>
      </w:tr>
    </w:tbl>
    <w:p>
      <w:pPr>
        <w:jc w:val="center"/>
        <w:rPr>
          <w:b/>
          <w:sz w:val="56"/>
        </w:rPr>
      </w:pPr>
      <w:bookmarkStart w:id="6" w:name="二维码"/>
      <w:bookmarkEnd w:id="6"/>
      <w:r>
        <w:drawing>
          <wp:inline distT="0" distB="0" distL="0" distR="0">
            <wp:extent cx="1514475" cy="1514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T17373732998</w:t>
            </w:r>
            <w:bookmarkEnd w:id="9"/>
          </w:p>
        </w:tc>
      </w:tr>
    </w:tbl>
    <w:p>
      <w:pPr>
        <w:jc w:val="center"/>
        <w:rPr>
          <w:b/>
          <w:sz w:val="56"/>
        </w:rPr>
      </w:pPr>
    </w:p>
    <w:p>
      <w:pPr>
        <w:tabs>
          <w:tab w:val="left" w:pos="1052"/>
        </w:tabs>
      </w:pPr>
    </w:p>
    <w:p>
      <w:pPr>
        <w:widowControl/>
        <w:spacing w:line="240" w:lineRule="atLeast"/>
      </w:pPr>
      <w:r>
        <w:br w:type="page"/>
      </w:r>
    </w:p>
    <w:p/>
    <w:p>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_Toc20057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_Toc20057 \h </w:instrText>
      </w:r>
      <w:r>
        <w:fldChar w:fldCharType="separate"/>
      </w:r>
      <w:r>
        <w:t>3</w:t>
      </w:r>
      <w:r>
        <w:fldChar w:fldCharType="end"/>
      </w:r>
      <w:r>
        <w:rPr>
          <w:rFonts w:ascii="Calibri" w:hAnsi="Calibri"/>
          <w:caps/>
          <w:szCs w:val="20"/>
        </w:rPr>
        <w:fldChar w:fldCharType="end"/>
      </w:r>
    </w:p>
    <w:p>
      <w:pPr>
        <w:pStyle w:val="18"/>
        <w:tabs>
          <w:tab w:val="right" w:leader="dot" w:pos="7910"/>
        </w:tabs>
      </w:pPr>
      <w:r>
        <w:rPr>
          <w:bCs/>
          <w:lang w:val="zh-CN"/>
        </w:rPr>
        <w:fldChar w:fldCharType="begin"/>
      </w:r>
      <w:r>
        <w:rPr>
          <w:bCs/>
          <w:lang w:val="zh-CN"/>
        </w:rPr>
        <w:instrText xml:space="preserve"> HYPERLINK \l _Toc25013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_Toc25013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_Toc12295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_Toc12295 \h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_Toc9358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_Toc9358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_Toc32371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_Toc32371 \h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_Toc2184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_Toc2184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_Toc10352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_Toc10352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_Toc15854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_Toc15854 \h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_Toc20158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_Toc20158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_Toc21921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_Toc21921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_Toc19822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_Toc19822 \h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_Toc22357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_Toc22357 \h </w:instrText>
      </w:r>
      <w:r>
        <w:fldChar w:fldCharType="separate"/>
      </w:r>
      <w:r>
        <w:t>8</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_Toc24998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_Toc24998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_Toc5843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_Toc5843 \h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_Toc22107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_Toc22107 \h </w:instrText>
      </w:r>
      <w:r>
        <w:fldChar w:fldCharType="separate"/>
      </w:r>
      <w:r>
        <w:t>10</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_Toc10309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_Toc10309 \h </w:instrText>
      </w:r>
      <w:r>
        <w:fldChar w:fldCharType="separate"/>
      </w:r>
      <w:r>
        <w:t>12</w:t>
      </w:r>
      <w:r>
        <w:fldChar w:fldCharType="end"/>
      </w:r>
      <w:r>
        <w:rPr>
          <w:bCs/>
          <w:lang w:val="zh-CN"/>
        </w:rPr>
        <w:fldChar w:fldCharType="end"/>
      </w:r>
    </w:p>
    <w:p>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20057"/>
      <w:r>
        <w:rPr>
          <w:rFonts w:hint="eastAsia" w:ascii="黑体" w:hAnsi="黑体" w:eastAsia="黑体"/>
          <w:kern w:val="32"/>
          <w:sz w:val="28"/>
          <w:szCs w:val="28"/>
        </w:rPr>
        <w:t>项目概况</w:t>
      </w:r>
      <w:bookmarkEnd w:id="11"/>
    </w:p>
    <w:p>
      <w:pPr>
        <w:pStyle w:val="3"/>
        <w:rPr>
          <w:sz w:val="24"/>
          <w:szCs w:val="24"/>
        </w:rPr>
      </w:pPr>
      <w:bookmarkStart w:id="12" w:name="_Toc25013"/>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呼和浩特</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7240.46</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11.600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12295"/>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600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0007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57816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7816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9358"/>
      <w:r>
        <w:rPr>
          <w:rFonts w:hint="eastAsia"/>
          <w:sz w:val="24"/>
          <w:szCs w:val="24"/>
        </w:rPr>
        <w:t>建筑三维轴测图</w:t>
      </w:r>
      <w:bookmarkEnd w:id="18"/>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r>
              <w:drawing>
                <wp:inline distT="0" distB="0" distL="0" distR="0">
                  <wp:extent cx="5667375" cy="2914650"/>
                  <wp:effectExtent l="0" t="0" r="952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2914650"/>
                          </a:xfrm>
                          <a:prstGeom prst="rect">
                            <a:avLst/>
                          </a:prstGeom>
                        </pic:spPr>
                      </pic:pic>
                    </a:graphicData>
                  </a:graphic>
                </wp:inline>
              </w:drawing>
            </w:r>
          </w:p>
        </w:tc>
      </w:tr>
    </w:tbl>
    <w:p>
      <w:pPr>
        <w:widowControl/>
        <w:snapToGrid w:val="0"/>
        <w:jc w:val="center"/>
        <w:rPr>
          <w:rFonts w:hint="eastAsia" w:ascii="微软雅黑" w:hAnsi="微软雅黑" w:eastAsia="微软雅黑" w:cs="微软雅黑"/>
          <w:kern w:val="0"/>
          <w:sz w:val="18"/>
          <w:szCs w:val="18"/>
          <w:lang w:val="zh-CN" w:eastAsia="zh-CN"/>
        </w:rPr>
      </w:pPr>
      <w:r>
        <w:rPr>
          <w:rFonts w:hint="eastAsia" w:ascii="微软雅黑" w:hAnsi="微软雅黑" w:eastAsia="微软雅黑" w:cs="微软雅黑"/>
          <w:kern w:val="0"/>
          <w:sz w:val="18"/>
          <w:szCs w:val="18"/>
          <w:lang w:val="en-US"/>
        </w:rPr>
        <w:t>图1-1 建筑模型</w:t>
      </w: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9" w:name="_Toc32371"/>
      <w:r>
        <w:rPr>
          <w:rFonts w:hint="eastAsia" w:ascii="黑体" w:hAnsi="黑体" w:eastAsia="黑体"/>
          <w:kern w:val="32"/>
          <w:sz w:val="28"/>
          <w:szCs w:val="28"/>
        </w:rPr>
        <w:t>参考标准</w:t>
      </w:r>
      <w:bookmarkEnd w:id="19"/>
      <w:bookmarkStart w:id="50" w:name="_GoBack"/>
      <w:bookmarkEnd w:id="50"/>
    </w:p>
    <w:p>
      <w:pPr>
        <w:pStyle w:val="39"/>
        <w:numPr>
          <w:ilvl w:val="2"/>
          <w:numId w:val="3"/>
        </w:numPr>
        <w:spacing w:line="400" w:lineRule="exact"/>
        <w:ind w:firstLineChars="0"/>
        <w:rPr>
          <w:rFonts w:ascii="Times New Roman" w:hAnsi="Times New Roman"/>
        </w:rPr>
      </w:pPr>
      <w:bookmarkStart w:id="20" w:name="标准名称"/>
      <w:r>
        <w:t>《绿色建筑评价标准》GB/T 50378-2019</w:t>
      </w:r>
      <w:bookmarkEnd w:id="20"/>
    </w:p>
    <w:p>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1" w:name="_Toc2184"/>
      <w:r>
        <w:rPr>
          <w:rFonts w:hint="eastAsia" w:ascii="黑体" w:hAnsi="黑体" w:eastAsia="黑体"/>
          <w:kern w:val="32"/>
          <w:sz w:val="28"/>
          <w:szCs w:val="28"/>
        </w:rPr>
        <w:t>评价标准</w:t>
      </w:r>
      <w:bookmarkEnd w:id="21"/>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2" w:name="标准名称1"/>
      <w:r>
        <w:t>《绿色建筑评价标准》GB/T 50378-2019</w:t>
      </w:r>
      <w:bookmarkEnd w:id="22"/>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pPr>
              <w:jc w:val="center"/>
              <w:rPr>
                <w:rFonts w:ascii="等线" w:hAnsi="等线" w:eastAsia="等线"/>
                <w:bCs/>
              </w:rPr>
            </w:pPr>
          </w:p>
        </w:tc>
        <w:tc>
          <w:tcPr>
            <w:tcW w:w="2218" w:type="dxa"/>
            <w:vMerge w:val="continue"/>
            <w:tcBorders>
              <w:left w:val="single" w:color="auto" w:sz="4" w:space="0"/>
            </w:tcBorders>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3" w:name="_Toc10352"/>
      <w:r>
        <w:rPr>
          <w:rFonts w:hint="eastAsia" w:ascii="黑体" w:hAnsi="黑体" w:eastAsia="黑体"/>
          <w:kern w:val="32"/>
          <w:sz w:val="28"/>
          <w:szCs w:val="28"/>
        </w:rPr>
        <w:t>计算原理</w:t>
      </w:r>
      <w:bookmarkEnd w:id="23"/>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4" w:name="_Toc15854"/>
      <w:r>
        <w:rPr>
          <w:rFonts w:hint="eastAsia"/>
          <w:kern w:val="32"/>
          <w:sz w:val="28"/>
          <w:szCs w:val="28"/>
        </w:rPr>
        <w:t>计算参数</w:t>
      </w:r>
      <w:bookmarkEnd w:id="24"/>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5" w:name="_Toc20158"/>
      <w:r>
        <w:rPr>
          <w:rFonts w:hint="eastAsia"/>
          <w:sz w:val="24"/>
          <w:szCs w:val="24"/>
        </w:rPr>
        <w:t>渗透风量</w:t>
      </w:r>
      <w:bookmarkEnd w:id="25"/>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6" w:name="渗透风量"/>
      <w:r>
        <w:t>本项目忽略渗透风量的影响。</w:t>
      </w:r>
      <w:bookmarkEnd w:id="26"/>
    </w:p>
    <w:p>
      <w:pPr>
        <w:pStyle w:val="3"/>
        <w:rPr>
          <w:sz w:val="24"/>
          <w:szCs w:val="24"/>
        </w:rPr>
      </w:pPr>
      <w:bookmarkStart w:id="27" w:name="_Toc21921"/>
      <w:r>
        <w:rPr>
          <w:rFonts w:hint="eastAsia"/>
          <w:sz w:val="24"/>
          <w:szCs w:val="24"/>
        </w:rPr>
        <w:t>室内颗粒物源强</w:t>
      </w:r>
      <w:bookmarkEnd w:id="27"/>
    </w:p>
    <w:p>
      <w:pPr>
        <w:widowControl/>
        <w:ind w:firstLine="420"/>
        <w:jc w:val="left"/>
        <w:rPr>
          <w:rFonts w:cs="宋体"/>
          <w:kern w:val="0"/>
          <w:sz w:val="24"/>
          <w:szCs w:val="24"/>
        </w:rPr>
      </w:pPr>
      <w:bookmarkStart w:id="28"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8"/>
    <w:p>
      <w:pPr>
        <w:jc w:val="center"/>
      </w:pPr>
    </w:p>
    <w:p>
      <w:pPr>
        <w:pStyle w:val="3"/>
        <w:rPr>
          <w:sz w:val="24"/>
          <w:szCs w:val="24"/>
        </w:rPr>
      </w:pPr>
      <w:bookmarkStart w:id="29" w:name="_Toc19822"/>
      <w:r>
        <w:rPr>
          <w:rFonts w:hint="eastAsia"/>
          <w:sz w:val="24"/>
          <w:szCs w:val="24"/>
        </w:rPr>
        <w:t>室外颗粒物污染源浓度</w:t>
      </w:r>
      <w:bookmarkEnd w:id="29"/>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0" w:name="室外颗粒物逐时浓度图"/>
      <w:bookmarkEnd w:id="30"/>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1" w:name="_Toc22357"/>
      <w:r>
        <w:rPr>
          <w:rFonts w:hint="eastAsia"/>
          <w:sz w:val="24"/>
          <w:szCs w:val="24"/>
        </w:rPr>
        <w:t>房间通风净化</w:t>
      </w:r>
      <w:bookmarkEnd w:id="31"/>
    </w:p>
    <w:p>
      <w:pPr>
        <w:jc w:val="center"/>
      </w:pPr>
    </w:p>
    <w:p>
      <w:pPr>
        <w:rPr>
          <w:lang w:val="zh-CN" w:eastAsia="zh-CN"/>
        </w:rPr>
      </w:pPr>
    </w:p>
    <w:p>
      <w:pPr>
        <w:jc w:val="center"/>
      </w:pPr>
      <w:bookmarkStart w:id="32" w:name="通风净化表"/>
      <w:bookmarkEnd w:id="32"/>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开窗通风量（m³/h）</w:t>
            </w:r>
          </w:p>
        </w:tc>
        <w:tc>
          <w:tcPr>
            <w:shd w:val="clear" w:color="auto" w:fill="E6E6E6"/>
            <w:vAlign w:val="center"/>
          </w:tcPr>
          <w:p>
            <w:pPr>
              <w:jc w:val="center"/>
              <w:rPr>
                <w:sz w:val="21"/>
                <w:szCs w:val="21"/>
              </w:rPr>
            </w:pPr>
            <w:r>
              <w:rPr>
                <w:b/>
                <w:sz w:val="21"/>
                <w:szCs w:val="21"/>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44.2</w:t>
            </w:r>
          </w:p>
        </w:tc>
        <w:tc>
          <w:tcPr>
            <w:vAlign w:val="center"/>
          </w:tcPr>
          <w:p>
            <w:pPr>
              <w:jc w:val="center"/>
              <w:rPr>
                <w:sz w:val="21"/>
                <w:szCs w:val="21"/>
              </w:rPr>
            </w:pPr>
            <w:r>
              <w:rPr>
                <w:sz w:val="21"/>
                <w:szCs w:val="21"/>
              </w:rPr>
              <w:t>163.7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48.8</w:t>
            </w:r>
          </w:p>
        </w:tc>
        <w:tc>
          <w:tcPr>
            <w:vAlign w:val="center"/>
          </w:tcPr>
          <w:p>
            <w:pPr>
              <w:jc w:val="center"/>
              <w:rPr>
                <w:sz w:val="21"/>
                <w:szCs w:val="21"/>
              </w:rPr>
            </w:pPr>
            <w:r>
              <w:rPr>
                <w:sz w:val="21"/>
                <w:szCs w:val="21"/>
              </w:rPr>
              <w:t>180.8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54.9</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131.8</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61.0</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61.0</w:t>
            </w:r>
          </w:p>
        </w:tc>
        <w:tc>
          <w:tcPr>
            <w:vAlign w:val="center"/>
          </w:tcPr>
          <w:p>
            <w:pPr>
              <w:jc w:val="center"/>
              <w:rPr>
                <w:sz w:val="21"/>
                <w:szCs w:val="21"/>
              </w:rPr>
            </w:pPr>
            <w:r>
              <w:rPr>
                <w:sz w:val="21"/>
                <w:szCs w:val="21"/>
              </w:rPr>
              <w:t>203.4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96.7</w:t>
            </w:r>
          </w:p>
        </w:tc>
        <w:tc>
          <w:tcPr>
            <w:vAlign w:val="center"/>
          </w:tcPr>
          <w:p>
            <w:pPr>
              <w:jc w:val="center"/>
              <w:rPr>
                <w:sz w:val="21"/>
                <w:szCs w:val="21"/>
              </w:rPr>
            </w:pPr>
            <w:r>
              <w:rPr>
                <w:sz w:val="21"/>
                <w:szCs w:val="21"/>
              </w:rPr>
              <w:t>322.4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146.6</w:t>
            </w:r>
          </w:p>
        </w:tc>
        <w:tc>
          <w:tcPr>
            <w:vAlign w:val="center"/>
          </w:tcPr>
          <w:p>
            <w:pPr>
              <w:jc w:val="center"/>
              <w:rPr>
                <w:sz w:val="21"/>
                <w:szCs w:val="21"/>
              </w:rPr>
            </w:pPr>
            <w:r>
              <w:rPr>
                <w:sz w:val="21"/>
                <w:szCs w:val="21"/>
              </w:rPr>
              <w:t>488.8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71.8</w:t>
            </w:r>
          </w:p>
        </w:tc>
        <w:tc>
          <w:tcPr>
            <w:vAlign w:val="center"/>
          </w:tcPr>
          <w:p>
            <w:pPr>
              <w:jc w:val="center"/>
              <w:rPr>
                <w:sz w:val="21"/>
                <w:szCs w:val="21"/>
              </w:rPr>
            </w:pPr>
            <w:r>
              <w:rPr>
                <w:sz w:val="21"/>
                <w:szCs w:val="21"/>
              </w:rPr>
              <w:t>239.2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76.3</w:t>
            </w:r>
          </w:p>
        </w:tc>
        <w:tc>
          <w:tcPr>
            <w:vAlign w:val="center"/>
          </w:tcPr>
          <w:p>
            <w:pPr>
              <w:jc w:val="center"/>
              <w:rPr>
                <w:sz w:val="21"/>
                <w:szCs w:val="21"/>
              </w:rPr>
            </w:pPr>
            <w:r>
              <w:rPr>
                <w:sz w:val="21"/>
                <w:szCs w:val="21"/>
              </w:rPr>
              <w:t>254.5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146.4</w:t>
            </w:r>
          </w:p>
        </w:tc>
        <w:tc>
          <w:tcPr>
            <w:vAlign w:val="center"/>
          </w:tcPr>
          <w:p>
            <w:pPr>
              <w:jc w:val="center"/>
              <w:rPr>
                <w:sz w:val="21"/>
                <w:szCs w:val="21"/>
              </w:rPr>
            </w:pPr>
            <w:r>
              <w:rPr>
                <w:sz w:val="21"/>
                <w:szCs w:val="21"/>
              </w:rPr>
              <w:t>488.2</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3" w:name="_Toc24998"/>
      <w:r>
        <w:rPr>
          <w:rFonts w:hint="eastAsia" w:ascii="黑体" w:hAnsi="黑体" w:eastAsia="黑体"/>
          <w:kern w:val="32"/>
          <w:sz w:val="28"/>
          <w:szCs w:val="28"/>
        </w:rPr>
        <w:t>计算结果</w:t>
      </w:r>
      <w:bookmarkEnd w:id="33"/>
    </w:p>
    <w:p>
      <w:pPr>
        <w:pStyle w:val="3"/>
        <w:rPr>
          <w:sz w:val="24"/>
        </w:rPr>
      </w:pPr>
      <w:bookmarkStart w:id="34" w:name="_Toc5843"/>
      <w:r>
        <w:rPr>
          <w:rFonts w:hint="eastAsia"/>
          <w:sz w:val="24"/>
          <w:lang w:eastAsia="zh-CN"/>
        </w:rPr>
        <w:t>颗粒物年均值</w:t>
      </w:r>
      <w:bookmarkEnd w:id="34"/>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PM2.5</w:t>
            </w:r>
          </w:p>
        </w:tc>
        <w:tc>
          <w:tcPr>
            <w:shd w:val="clear" w:color="auto" w:fill="E6E6E6"/>
            <w:vAlign w:val="center"/>
          </w:tcPr>
          <w:p>
            <w:pPr>
              <w:jc w:val="center"/>
              <w:rPr>
                <w:sz w:val="21"/>
                <w:szCs w:val="21"/>
              </w:rPr>
            </w:pPr>
            <w:r>
              <w:rPr>
                <w:b/>
                <w:sz w:val="21"/>
                <w:szCs w:val="21"/>
              </w:rPr>
              <w:t>PM10</w:t>
            </w:r>
          </w:p>
        </w:tc>
        <w:tc>
          <w:tcPr>
            <w:shd w:val="clear" w:color="auto" w:fill="E6E6E6"/>
            <w:vAlign w:val="center"/>
          </w:tcPr>
          <w:p>
            <w:pPr>
              <w:jc w:val="center"/>
              <w:rPr>
                <w:sz w:val="21"/>
                <w:szCs w:val="21"/>
              </w:rPr>
            </w:pPr>
            <w:r>
              <w:rPr>
                <w:b/>
                <w:sz w:val="21"/>
                <w:szCs w:val="21"/>
              </w:rPr>
              <w:t>评分项是否达标</w:t>
            </w:r>
            <w:r>
              <w:rPr>
                <w:b/>
                <w:sz w:val="21"/>
                <w:szCs w:val="21"/>
              </w:rPr>
              <w:br w:type="textWrapping"/>
            </w:r>
            <w:r>
              <w:rPr>
                <w:b/>
                <w:sz w:val="21"/>
                <w:szCs w:val="21"/>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16</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bl>
    <w:p>
      <w:pPr>
        <w:jc w:val="center"/>
        <w:rPr>
          <w:b/>
        </w:rPr>
      </w:pPr>
      <w:bookmarkStart w:id="35" w:name="室内颗粒物达标判定表"/>
      <w:bookmarkEnd w:id="35"/>
    </w:p>
    <w:p>
      <w:pPr>
        <w:jc w:val="center"/>
        <w:rPr>
          <w:b/>
        </w:rPr>
      </w:pPr>
    </w:p>
    <w:p>
      <w:pPr>
        <w:jc w:val="center"/>
        <w:rPr>
          <w:b/>
        </w:rPr>
      </w:pPr>
      <w:bookmarkStart w:id="36" w:name="颗粒物达标判定图"/>
      <w:bookmarkEnd w:id="36"/>
      <w:r>
        <w:drawing>
          <wp:inline distT="0" distB="0" distL="0" distR="0">
            <wp:extent cx="5667375" cy="3438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4385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7" w:name="_Toc102139439"/>
      <w:bookmarkStart w:id="38" w:name="_Toc22107"/>
      <w:r>
        <w:rPr>
          <w:rFonts w:hint="eastAsia"/>
          <w:sz w:val="24"/>
          <w:lang w:eastAsia="zh-CN"/>
        </w:rPr>
        <w:t>颗粒物日均值</w:t>
      </w:r>
      <w:bookmarkEnd w:id="37"/>
      <w:bookmarkEnd w:id="38"/>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&lt;0.08（降低20%）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0.045</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0.048</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39" w:name="室内PM10日均值达标判定表"/>
      <w:bookmarkEnd w:id="39"/>
    </w:p>
    <w:p>
      <w:pPr>
        <w:jc w:val="center"/>
        <w:rPr>
          <w:rFonts w:ascii="Times New Roman" w:hAnsi="Times New Roman" w:cs="Times New Roman"/>
          <w:b/>
          <w:szCs w:val="21"/>
        </w:rPr>
      </w:pPr>
    </w:p>
    <w:p>
      <w:pPr>
        <w:jc w:val="center"/>
        <w:rPr>
          <w:rFonts w:ascii="Times New Roman" w:hAnsi="Times New Roman" w:cs="Times New Roman"/>
          <w:b/>
          <w:szCs w:val="21"/>
        </w:rPr>
      </w:pPr>
      <w:bookmarkStart w:id="40" w:name="PM10颗粒物逐日均值图"/>
      <w:bookmarkEnd w:id="40"/>
      <w:r>
        <w:drawing>
          <wp:inline distT="0" distB="0" distL="0" distR="0">
            <wp:extent cx="5667375" cy="2581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&lt;0.040（降低20%）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1025</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1023</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1022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2005</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2010</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2009</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2037</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2036</w:t>
            </w:r>
          </w:p>
        </w:tc>
        <w:tc>
          <w:tcPr>
            <w:vAlign w:val="center"/>
          </w:tcPr>
          <w:p>
            <w:pPr>
              <w:jc w:val="center"/>
              <w:rPr>
                <w:sz w:val="21"/>
                <w:szCs w:val="21"/>
              </w:rPr>
            </w:pPr>
            <w:r>
              <w:rPr>
                <w:sz w:val="21"/>
                <w:szCs w:val="21"/>
              </w:rPr>
              <w:t>办公室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2032</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2028</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2030</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2层</w:t>
            </w:r>
          </w:p>
        </w:tc>
        <w:tc>
          <w:tcPr>
            <w:vAlign w:val="center"/>
          </w:tcPr>
          <w:p>
            <w:pPr>
              <w:jc w:val="center"/>
              <w:rPr>
                <w:sz w:val="21"/>
                <w:szCs w:val="21"/>
              </w:rPr>
            </w:pPr>
            <w:r>
              <w:rPr>
                <w:sz w:val="21"/>
                <w:szCs w:val="21"/>
              </w:rPr>
              <w:t>2034</w:t>
            </w:r>
          </w:p>
        </w:tc>
        <w:tc>
          <w:tcPr>
            <w:vAlign w:val="center"/>
          </w:tcPr>
          <w:p>
            <w:pPr>
              <w:jc w:val="center"/>
              <w:rPr>
                <w:sz w:val="21"/>
                <w:szCs w:val="21"/>
              </w:rPr>
            </w:pPr>
            <w:r>
              <w:rPr>
                <w:sz w:val="21"/>
                <w:szCs w:val="21"/>
              </w:rPr>
              <w:t>会议室</w:t>
            </w:r>
          </w:p>
        </w:tc>
        <w:tc>
          <w:tcPr>
            <w:vAlign w:val="center"/>
          </w:tcPr>
          <w:p>
            <w:pPr>
              <w:jc w:val="center"/>
              <w:rPr>
                <w:sz w:val="21"/>
                <w:szCs w:val="21"/>
              </w:rPr>
            </w:pPr>
            <w:r>
              <w:rPr>
                <w:sz w:val="21"/>
                <w:szCs w:val="21"/>
              </w:rPr>
              <w:t>0.017</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1" w:name="室内PM25日均值达标判定表"/>
      <w:bookmarkEnd w:id="41"/>
    </w:p>
    <w:p>
      <w:pPr>
        <w:jc w:val="center"/>
        <w:rPr>
          <w:rFonts w:ascii="Times New Roman" w:hAnsi="Times New Roman" w:cs="Times New Roman"/>
          <w:b/>
          <w:szCs w:val="21"/>
        </w:rPr>
      </w:pPr>
    </w:p>
    <w:p>
      <w:pPr>
        <w:jc w:val="center"/>
        <w:rPr>
          <w:rFonts w:ascii="Times New Roman" w:hAnsi="Times New Roman" w:cs="Times New Roman"/>
          <w:b/>
          <w:szCs w:val="21"/>
        </w:rPr>
      </w:pPr>
      <w:bookmarkStart w:id="42" w:name="PM25颗粒物逐日均值图"/>
      <w:bookmarkEnd w:id="42"/>
      <w:r>
        <w:drawing>
          <wp:inline distT="0" distB="0" distL="0" distR="0">
            <wp:extent cx="5667375" cy="2581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3" w:name="_Toc10309"/>
      <w:r>
        <w:rPr>
          <w:rFonts w:hint="eastAsia" w:ascii="黑体" w:hAnsi="黑体" w:eastAsia="黑体"/>
          <w:kern w:val="32"/>
          <w:sz w:val="28"/>
          <w:szCs w:val="28"/>
        </w:rPr>
        <w:t>结论</w:t>
      </w:r>
      <w:bookmarkEnd w:id="43"/>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4" w:name="颗粒物计算结果"/>
            <w:r>
              <w:rPr>
                <w:rFonts w:ascii="Times New Roman" w:hAnsi="Times New Roman" w:cs="Times New Roman"/>
                <w:szCs w:val="20"/>
              </w:rPr>
              <w:t>PM2.5年均浓度7μg/m³
PM10年均浓度17μg/m³</w:t>
            </w:r>
            <w:bookmarkEnd w:id="44"/>
          </w:p>
        </w:tc>
        <w:tc>
          <w:tcPr>
            <w:tcW w:w="850" w:type="dxa"/>
            <w:shd w:val="clear" w:color="auto" w:fill="FEF2CC" w:themeFill="accent4" w:themeFillTint="33"/>
            <w:noWrap/>
            <w:vAlign w:val="center"/>
          </w:tcPr>
          <w:p>
            <w:pPr>
              <w:jc w:val="center"/>
              <w:rPr>
                <w:b/>
                <w:bCs/>
              </w:rPr>
            </w:pPr>
            <w:bookmarkStart w:id="45" w:name="颗粒物评分项结论"/>
            <w:r>
              <w:rPr>
                <w:b/>
                <w:bCs/>
              </w:rPr>
              <w:t>满足</w:t>
            </w:r>
            <w:bookmarkEnd w:id="45"/>
          </w:p>
        </w:tc>
        <w:tc>
          <w:tcPr>
            <w:tcW w:w="794" w:type="dxa"/>
            <w:shd w:val="clear" w:color="auto" w:fill="FEF2CC" w:themeFill="accent4" w:themeFillTint="33"/>
            <w:noWrap/>
            <w:vAlign w:val="center"/>
          </w:tcPr>
          <w:p>
            <w:pPr>
              <w:jc w:val="center"/>
              <w:rPr>
                <w:b/>
                <w:bCs/>
              </w:rPr>
            </w:pPr>
            <w:bookmarkStart w:id="46" w:name="颗粒物评分项得分"/>
            <w:r>
              <w:rPr>
                <w:b/>
                <w:bCs/>
              </w:rPr>
              <w:t>6</w:t>
            </w:r>
            <w:bookmarkEnd w:id="46"/>
            <w:r>
              <w:rPr>
                <w:rFonts w:hint="eastAsia"/>
                <w:b/>
                <w:bCs/>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技术项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pPr>
              <w:jc w:val="left"/>
              <w:rPr>
                <w:rFonts w:ascii="Times New Roman" w:hAnsi="Times New Roman" w:cs="Times New Roman"/>
                <w:bCs/>
                <w:szCs w:val="20"/>
              </w:rPr>
            </w:pPr>
          </w:p>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pPr>
              <w:jc w:val="left"/>
              <w:rPr>
                <w:rFonts w:ascii="Times New Roman" w:hAnsi="Times New Roman" w:cs="Times New Roman"/>
                <w:color w:val="FF0000"/>
                <w:kern w:val="0"/>
                <w:szCs w:val="21"/>
              </w:rPr>
            </w:pPr>
            <w:bookmarkStart w:id="47" w:name="PM25颗粒物技术项计算结果二星级"/>
            <w:r>
              <w:rPr>
                <w:rFonts w:hint="eastAsia" w:ascii="Times New Roman" w:hAnsi="Times New Roman" w:cs="Times New Roman"/>
                <w:color w:val="00B050"/>
                <w:kern w:val="0"/>
                <w:szCs w:val="21"/>
              </w:rPr>
              <w:t>PM25最大日均浓度0.017mg/m³</w:t>
            </w:r>
            <w:bookmarkEnd w:id="47"/>
          </w:p>
          <w:p>
            <w:pPr>
              <w:jc w:val="left"/>
              <w:rPr>
                <w:rFonts w:ascii="Times New Roman" w:hAnsi="Times New Roman" w:cs="Times New Roman"/>
                <w:color w:val="FF0000"/>
                <w:kern w:val="0"/>
                <w:szCs w:val="21"/>
              </w:rPr>
            </w:pPr>
          </w:p>
          <w:p>
            <w:pPr>
              <w:jc w:val="left"/>
              <w:rPr>
                <w:rFonts w:ascii="Times New Roman" w:hAnsi="Times New Roman" w:cs="Times New Roman"/>
                <w:color w:val="FF0000"/>
                <w:kern w:val="0"/>
                <w:szCs w:val="21"/>
              </w:rPr>
            </w:pPr>
            <w:bookmarkStart w:id="48" w:name="PM10颗粒物技术项计算结果二星级"/>
            <w:r>
              <w:rPr>
                <w:rFonts w:hint="eastAsia" w:ascii="Times New Roman" w:hAnsi="Times New Roman" w:cs="Times New Roman"/>
                <w:color w:val="00B050"/>
                <w:kern w:val="0"/>
                <w:szCs w:val="21"/>
              </w:rPr>
              <w:t>PM10最大日均浓度0.048mg/m³</w:t>
            </w:r>
            <w:bookmarkEnd w:id="48"/>
          </w:p>
        </w:tc>
        <w:tc>
          <w:tcPr>
            <w:tcW w:w="850" w:type="dxa"/>
            <w:shd w:val="clear" w:color="auto" w:fill="FEF2CC" w:themeFill="accent4" w:themeFillTint="33"/>
            <w:noWrap/>
            <w:vAlign w:val="center"/>
          </w:tcPr>
          <w:p>
            <w:pPr>
              <w:jc w:val="center"/>
              <w:rPr>
                <w:b/>
                <w:bCs/>
              </w:rPr>
            </w:pPr>
            <w:bookmarkStart w:id="49" w:name="颗粒物技术项结论二星级"/>
            <w:r>
              <w:rPr>
                <w:rFonts w:hint="eastAsia"/>
                <w:b/>
                <w:bCs/>
                <w:color w:val="00B050"/>
              </w:rPr>
              <w:t>满足二/三星级要求</w:t>
            </w:r>
            <w:bookmarkEnd w:id="49"/>
          </w:p>
        </w:tc>
        <w:tc>
          <w:tcPr>
            <w:tcW w:w="794" w:type="dxa"/>
            <w:shd w:val="clear" w:color="auto" w:fill="FEF2CC" w:themeFill="accent4" w:themeFillTint="33"/>
            <w:noWrap/>
            <w:vAlign w:val="center"/>
          </w:tcPr>
          <w:p>
            <w:pPr>
              <w:jc w:val="center"/>
              <w:rPr>
                <w:b/>
                <w:bCs/>
              </w:rPr>
            </w:pPr>
            <w:r>
              <w:rPr>
                <w:rFonts w:hint="eastAsia"/>
                <w:b/>
                <w:bCs/>
              </w:rPr>
              <w:t>/</w:t>
            </w:r>
          </w:p>
        </w:tc>
      </w:tr>
    </w:tbl>
    <w:p>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2ZiNzJkZjgxMWZhMDY4MmJjMzE0NWVkZmE2YjYifQ=="/>
    <w:docVar w:name="KSO_WPS_MARK_KEY" w:val="0d214e43-31f4-4154-90c5-e4da6a14646c"/>
  </w:docVars>
  <w:rsids>
    <w:rsidRoot w:val="1E2A2AF0"/>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03CC35BB"/>
    <w:rsid w:val="1E2A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qFormat/>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qFormat/>
    <w:uiPriority w:val="0"/>
    <w:rPr>
      <w:rFonts w:ascii="Times New Roman" w:hAnsi="Times New Roman" w:eastAsia="宋体" w:cs="Times New Roman"/>
      <w:b/>
      <w:bCs/>
      <w:sz w:val="24"/>
      <w:szCs w:val="24"/>
    </w:rPr>
  </w:style>
  <w:style w:type="character" w:customStyle="1" w:styleId="36">
    <w:name w:val="标题 8 字符"/>
    <w:basedOn w:val="22"/>
    <w:link w:val="9"/>
    <w:qFormat/>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bmp"/><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13</Pages>
  <Words>2790</Words>
  <Characters>3871</Characters>
  <Lines>25</Lines>
  <Paragraphs>7</Paragraphs>
  <TotalTime>0</TotalTime>
  <ScaleCrop>false</ScaleCrop>
  <LinksUpToDate>false</LinksUpToDate>
  <CharactersWithSpaces>4031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2025-03-14T02:19:00Z</dcterms:created>
  <dc:creator>✘Monsters️</dc:creator>
  <cp:lastModifiedBy>✘Monsters️</cp:lastModifiedBy>
  <dcterms:modified xsi:type="dcterms:W3CDTF">2025-03-14T07:36:01Z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4A4F2B6385C04B8BBFD5F7238EA2171D_11</vt:lpwstr>
  </property>
  <property fmtid="{D5CDD505-2E9C-101B-9397-08002B2CF9AE}" pid="3" name="KSOProductBuildVer">
    <vt:lpwstr>2052-11.1.0.14036</vt:lpwstr>
  </property>
</Properties>
</file>