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内蒙古-呼和浩特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2024年11月30日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T17373732998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_Toc29721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_Toc20874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_Toc2740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_Toc27348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_Toc16062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_Toc16062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_Toc31767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_Toc4078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_Toc8821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供暖系统</w:t>
      </w:r>
      <w:r>
        <w:tab/>
      </w:r>
      <w:r>
        <w:fldChar w:fldCharType="begin"/>
      </w:r>
      <w:r>
        <w:instrText xml:space="preserve"> PAGEREF _Toc11175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默认热源</w:t>
      </w:r>
      <w:r>
        <w:tab/>
      </w:r>
      <w:r>
        <w:fldChar w:fldCharType="begin"/>
      </w:r>
      <w:r>
        <w:instrText xml:space="preserve"> PAGEREF _Toc3310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_Toc29937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_Toc21011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_Toc21011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_Toc4375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_Toc4375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_Toc20223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_Toc20223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电梯碳排放</w:t>
      </w:r>
      <w:r>
        <w:tab/>
      </w:r>
      <w:r>
        <w:fldChar w:fldCharType="begin"/>
      </w:r>
      <w:r>
        <w:instrText xml:space="preserve"> PAGEREF _Toc27103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_Toc2855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_Toc17033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_Toc17033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_Toc14308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_Toc14308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_Toc32186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_Toc4406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_Toc25529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_Toc25529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_Toc20863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_Toc29613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_Toc14418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_Toc24513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_Toc25741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_Toc4942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_Toc1100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_Toc23426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_Toc23426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_Toc12670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_Toc20000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_Toc18470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_Toc10053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_Toc11141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97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6283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29295.26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7708.28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0.15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供暖期:10.15-4.15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589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787735"/>
      <w:bookmarkStart w:id="34" w:name="_Toc59800596"/>
      <w:bookmarkStart w:id="35" w:name="_Toc59802421"/>
      <w:bookmarkStart w:id="36" w:name="_Toc58336110"/>
      <w:bookmarkStart w:id="37" w:name="_Toc2312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4702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8428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564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973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07月06日15时</w:t>
            </w:r>
          </w:p>
        </w:tc>
        <w:tc>
          <w:tcPr>
            <w:vAlign w:val="center"/>
          </w:tcPr>
          <w:p>
            <w:r>
              <w:t>33.3</w:t>
            </w:r>
          </w:p>
        </w:tc>
        <w:tc>
          <w:tcPr>
            <w:vAlign w:val="center"/>
          </w:tcPr>
          <w:p>
            <w:r>
              <w:t>16.1</w:t>
            </w:r>
          </w:p>
        </w:tc>
        <w:tc>
          <w:tcPr>
            <w:vAlign w:val="center"/>
          </w:tcPr>
          <w:p>
            <w:r>
              <w:t>5.7</w:t>
            </w:r>
          </w:p>
        </w:tc>
        <w:tc>
          <w:tcPr>
            <w:vAlign w:val="center"/>
          </w:tcPr>
          <w:p>
            <w: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01月08日07时</w:t>
            </w:r>
          </w:p>
        </w:tc>
        <w:tc>
          <w:tcPr>
            <w:vAlign w:val="center"/>
          </w:tcPr>
          <w:p>
            <w:r>
              <w:t>-21.1</w:t>
            </w:r>
          </w:p>
        </w:tc>
        <w:tc>
          <w:tcPr>
            <w:vAlign w:val="center"/>
          </w:tcPr>
          <w:p>
            <w:r>
              <w:t>-21.7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-20.2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2274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17830"/>
      <w:r>
        <w:t>工程材料</w:t>
      </w:r>
      <w:bookmarkEnd w:id="47"/>
    </w:p>
    <w:p>
      <w:pPr>
        <w:pStyle w:val="5"/>
        <w:widowControl w:val="0"/>
        <w:jc w:val="both"/>
      </w:pPr>
      <w:bookmarkStart w:id="48" w:name="_Toc353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NPGZ屋用岩棉板160kg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2009.1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1：6水泥焦渣（炉渣）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4.862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928.9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0.0200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稀土无机保温材料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0.772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现场喷涂超细无机纤维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0.319</w:t>
            </w:r>
          </w:p>
        </w:tc>
        <w:tc>
          <w:tcPr>
            <w:vAlign w:val="center"/>
          </w:tcPr>
          <w:p>
            <w:r>
              <w:t>38.0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5"/>
        <w:widowControl w:val="0"/>
        <w:jc w:val="both"/>
      </w:pPr>
      <w:bookmarkStart w:id="49" w:name="_Toc20874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2740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(K=0.197,D=4.231)：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聚苯乙烯泡沫塑料（灰板） 155mm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(K=0.206,D=7.443)：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洛科威定向岩棉板80~180mm 135mm</w:t>
      </w:r>
      <w:r>
        <w:rPr>
          <w:color w:val="000000"/>
        </w:rPr>
        <w:t>＋水泥砂浆 20mm＋水泥砂浆 15mm＋蒸压加气混凝土砌块B07 200mm＋水泥砂浆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控温与非控温隔墙构造一 (K=0.579,D=4.522)：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80系列内平开隔热铝合金窗(5+12Ar+5Low-E+12Ar+5Low-E) (K=1.200)：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传热系数1.200W/㎡.K，窗太阳得热系数0.275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传热系数0.700W/㎡.K，窗太阳得热系数0.465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传热系数0.700W/㎡.K，窗太阳得热系数0.465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(K=0.578,D=0.914)：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NPGZ屋用岩棉板160kg 70mm</w:t>
      </w:r>
    </w:p>
    <w:p>
      <w:pPr>
        <w:pStyle w:val="2"/>
        <w:widowControl w:val="0"/>
        <w:jc w:val="both"/>
        <w:rPr>
          <w:color w:val="000000"/>
        </w:rPr>
      </w:pPr>
      <w:bookmarkStart w:id="51" w:name="_Toc1848"/>
      <w:r>
        <w:rPr>
          <w:color w:val="000000"/>
        </w:rP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4.23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7.44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27348"/>
      <w:r>
        <w:rPr>
          <w:color w:val="000000"/>
        </w:rPr>
        <w:t>房间类型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247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22106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16062"/>
      <w:r>
        <w:rPr>
          <w:color w:val="000000"/>
        </w:rPr>
        <w:t>暖通空调系统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31767"/>
      <w:r>
        <w:rPr>
          <w:color w:val="000000"/>
        </w:rPr>
        <w:t>系统类型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4078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全空气变风量(VAV)机组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5627.39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8821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1175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3310"/>
      <w:r>
        <w:rPr>
          <w:color w:val="000000"/>
        </w:rPr>
        <w:t>默认热源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14.9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29.7</w:t>
            </w:r>
          </w:p>
        </w:tc>
        <w:tc>
          <w:tcPr>
            <w:vAlign w:val="center"/>
          </w:tcPr>
          <w:p>
            <w:r>
              <w:t>6.73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52.3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79.2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121.1</w:t>
            </w:r>
          </w:p>
        </w:tc>
        <w:tc>
          <w:tcPr>
            <w:vAlign w:val="center"/>
          </w:tcPr>
          <w:p>
            <w:r>
              <w:t>4.13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23471</w:t>
            </w:r>
          </w:p>
        </w:tc>
        <w:tc>
          <w:tcPr>
            <w:vAlign w:val="center"/>
          </w:tcPr>
          <w:p>
            <w:r>
              <w:t>832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3497</w:t>
            </w:r>
          </w:p>
        </w:tc>
        <w:tc>
          <w:tcPr>
            <w:vAlign w:val="center"/>
          </w:tcPr>
          <w:p>
            <w:r>
              <w:t>31283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20241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5452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8297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6.24</w:t>
            </w:r>
          </w:p>
        </w:tc>
        <w:tc>
          <w:tcPr>
            <w:vAlign w:val="center"/>
          </w:tcPr>
          <w:p>
            <w:r>
              <w:t>1329</w:t>
            </w:r>
          </w:p>
        </w:tc>
        <w:tc>
          <w:tcPr>
            <w:vAlign w:val="center"/>
          </w:tcPr>
          <w:p>
            <w:r>
              <w:t>1278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4147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768</w:t>
            </w:r>
          </w:p>
        </w:tc>
        <w:tc>
          <w:tcPr>
            <w:vAlign w:val="center"/>
          </w:tcPr>
          <w:p>
            <w:r>
              <w:t>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1267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4.82</w:t>
            </w:r>
          </w:p>
        </w:tc>
        <w:tc>
          <w:tcPr>
            <w:vAlign w:val="center"/>
          </w:tcPr>
          <w:p>
            <w:r>
              <w:t>263</w:t>
            </w:r>
          </w:p>
        </w:tc>
        <w:tc>
          <w:tcPr>
            <w:vAlign w:val="center"/>
          </w:tcPr>
          <w:p>
            <w:r>
              <w:t>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1100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242</w:t>
            </w:r>
          </w:p>
        </w:tc>
        <w:tc>
          <w:tcPr>
            <w:vAlign w:val="center"/>
          </w:tcPr>
          <w:p>
            <w: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58523</w:t>
            </w:r>
          </w:p>
        </w:tc>
        <w:tc>
          <w:tcPr>
            <w:vAlign w:val="center"/>
          </w:tcPr>
          <w:p>
            <w:r>
              <w:t>1028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9111</w:t>
            </w:r>
          </w:p>
        </w:tc>
        <w:tc>
          <w:tcPr>
            <w:vAlign w:val="center"/>
          </w:tcPr>
          <w:p>
            <w:r>
              <w:t>38653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9111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38653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27.240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2" w:name="_Toc29937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2435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1.3886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1.389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21011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521</w:t>
            </w:r>
          </w:p>
        </w:tc>
        <w:tc>
          <w:tcPr>
            <w:vAlign w:val="center"/>
          </w:tcPr>
          <w:p>
            <w:r>
              <w:t>5249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3677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846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1343</w:t>
            </w:r>
          </w:p>
        </w:tc>
        <w:tc>
          <w:tcPr>
            <w:vAlign w:val="center"/>
          </w:tcPr>
          <w:p>
            <w:r>
              <w:t>13542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2338</w:t>
            </w:r>
          </w:p>
        </w:tc>
        <w:tc>
          <w:tcPr>
            <w:vAlign w:val="center"/>
          </w:tcPr>
          <w:p>
            <w:r>
              <w:t>23565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1682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4808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1030</w:t>
            </w:r>
          </w:p>
        </w:tc>
        <w:tc>
          <w:tcPr>
            <w:vAlign w:val="center"/>
          </w:tcPr>
          <w:p>
            <w:r>
              <w:t>10378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36.355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4375"/>
      <w:r>
        <w:rPr>
          <w:color w:val="000000"/>
        </w:rPr>
        <w:t>电梯</w:t>
      </w:r>
      <w:bookmarkEnd w:id="74"/>
    </w:p>
    <w:p>
      <w:pPr>
        <w:pStyle w:val="4"/>
        <w:widowControl w:val="0"/>
        <w:jc w:val="both"/>
        <w:rPr>
          <w:color w:val="000000"/>
        </w:rPr>
      </w:pPr>
      <w:bookmarkStart w:id="75" w:name="_Toc20223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3894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27103"/>
      <w:r>
        <w:rPr>
          <w:color w:val="000000"/>
        </w:rPr>
        <w:t>电梯碳排放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3894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2.221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2855"/>
      <w:r>
        <w:rPr>
          <w:color w:val="000000"/>
        </w:rPr>
        <w:t>光伏发电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17810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21720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12.3869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32230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18.3808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34110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19.4529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36040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20.5536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33550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19.1336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29260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32210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18.3694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30100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26160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17460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9.95744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14770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8.42333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185.587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7033"/>
      <w:r>
        <w:rPr>
          <w:color w:val="000000"/>
        </w:rPr>
        <w:t>计算结果</w:t>
      </w:r>
      <w:bookmarkEnd w:id="78"/>
    </w:p>
    <w:p>
      <w:pPr>
        <w:pStyle w:val="4"/>
        <w:widowControl w:val="0"/>
        <w:jc w:val="both"/>
        <w:rPr>
          <w:color w:val="000000"/>
        </w:rPr>
      </w:pPr>
      <w:bookmarkStart w:id="79" w:name="_Toc14308"/>
      <w:r>
        <w:rPr>
          <w:color w:val="000000"/>
        </w:rPr>
        <w:t>建材生产运输碳排放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32186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5026.35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1708.959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161.717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475.483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256.480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179.723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稀土无机保温材料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现场喷涂超细无机纤维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NPGZ屋用岩棉板160kg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199.22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774.040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207.34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69.666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82系列内平开塑料窗(5超白+12Ar+5超白+V+5超白Low-E)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80系列内平开隔热铝合金窗(5+12Ar+5Low-E+12Ar+5Low-E)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金属三防门(微孔硅酸盐制品-普通型)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3587.56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164.602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3524.73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331.677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9424.41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4838.413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4406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11862.20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54.566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77.456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稀土无机保温材料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现场喷涂超细无机纤维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NPGZ屋用岩棉板160kg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127.528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82系列内平开塑料窗(5超白+12Ar+5超白+V+5超白Low-E)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80系列内平开隔热铝合金窗(5+12Ar+5Low-E+12Ar+5Low-E)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金属三防门(微孔硅酸盐制品-普通型)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325.263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5529"/>
      <w:r>
        <w:rPr>
          <w:color w:val="000000"/>
        </w:rPr>
        <w:t>建筑建造拆除碳排放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20863"/>
      <w:r>
        <w:rPr>
          <w:color w:val="000000"/>
        </w:rPr>
        <w:t>建筑建造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6282.94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25.069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29613"/>
      <w:r>
        <w:rPr>
          <w:color w:val="000000"/>
        </w:rPr>
        <w:t>建筑拆除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6282.94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25.069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14418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休闲绿地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2.9628</w:t>
            </w:r>
          </w:p>
        </w:tc>
        <w:tc>
          <w:tcPr>
            <w:vAlign w:val="center"/>
          </w:tcPr>
          <w:p>
            <w:r>
              <w:t>560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49.775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道路绿地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3.4127</w:t>
            </w:r>
          </w:p>
        </w:tc>
        <w:tc>
          <w:tcPr>
            <w:vAlign w:val="center"/>
          </w:tcPr>
          <w:p>
            <w:r>
              <w:t>1870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191.452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241.227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24513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_电耗CO2排放"/>
            <w:r>
              <w:t>0.000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  <w:bookmarkStart w:id="138" w:name="_GoBack"/>
            <w:bookmarkEnd w:id="13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72.51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_电耗CO2排放"/>
            <w:r>
              <w:t>1361.995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307.60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380.11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"/>
            <w:r>
              <w:t>69.442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19.38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19.38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507.31</w:t>
            </w:r>
            <w:bookmarkEnd w:id="109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"/>
            <w:r>
              <w:t>1817.755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30.99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111.046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30.99</w:t>
            </w:r>
            <w:bookmarkEnd w:id="119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2589.71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9279.350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-5919.114</w:t>
            </w:r>
            <w:bookmarkEnd w:id="127"/>
          </w:p>
        </w:tc>
        <w:bookmarkStart w:id="128" w:name="建筑总碳排放平米"/>
        <w:bookmarkEnd w:id="128"/>
      </w:tr>
      <w:bookmarkEnd w:id="87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29" w:name="_Toc25741"/>
      <w:r>
        <w:rPr>
          <w:color w:val="000000"/>
        </w:rPr>
        <w:t>全生命周期</w:t>
      </w:r>
      <w:bookmarkEnd w:id="129"/>
    </w:p>
    <w:p>
      <w:pPr>
        <w:pStyle w:val="5"/>
        <w:widowControl w:val="0"/>
        <w:jc w:val="both"/>
        <w:rPr>
          <w:color w:val="000000"/>
        </w:rPr>
      </w:pPr>
      <w:bookmarkStart w:id="130" w:name="_Toc4942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15.40</w:t>
            </w:r>
          </w:p>
        </w:tc>
        <w:tc>
          <w:tcPr>
            <w:vAlign w:val="center"/>
          </w:tcPr>
          <w:p>
            <w:r>
              <w:t>770.09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1.04</w:t>
            </w:r>
          </w:p>
        </w:tc>
        <w:tc>
          <w:tcPr>
            <w:vAlign w:val="center"/>
          </w:tcPr>
          <w:p>
            <w:r>
              <w:t>51.77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-18.84</w:t>
            </w:r>
          </w:p>
        </w:tc>
        <w:tc>
          <w:tcPr>
            <w:vAlign w:val="center"/>
          </w:tcPr>
          <w:p>
            <w:r>
              <w:t>-942.09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-0.77</w:t>
            </w:r>
          </w:p>
        </w:tc>
        <w:tc>
          <w:tcPr>
            <w:vAlign w:val="center"/>
          </w:tcPr>
          <w:p>
            <w:r>
              <w:t>-38.39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1" w:name="_Toc1100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96.768</w:t>
            </w:r>
          </w:p>
        </w:tc>
        <w:tc>
          <w:tcPr>
            <w:vAlign w:val="center"/>
          </w:tcPr>
          <w:p>
            <w:r>
              <w:t>4838.413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6.505</w:t>
            </w:r>
          </w:p>
        </w:tc>
        <w:tc>
          <w:tcPr>
            <w:vAlign w:val="center"/>
          </w:tcPr>
          <w:p>
            <w:r>
              <w:t>325.263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0.501</w:t>
            </w:r>
          </w:p>
        </w:tc>
        <w:tc>
          <w:tcPr>
            <w:vAlign w:val="center"/>
          </w:tcPr>
          <w:p>
            <w:r>
              <w:t>25.069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0.501</w:t>
            </w:r>
          </w:p>
        </w:tc>
        <w:tc>
          <w:tcPr>
            <w:vAlign w:val="center"/>
          </w:tcPr>
          <w:p>
            <w:r>
              <w:t>25.069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-118.382</w:t>
            </w:r>
          </w:p>
        </w:tc>
        <w:tc>
          <w:tcPr>
            <w:vAlign w:val="center"/>
          </w:tcPr>
          <w:p>
            <w:r>
              <w:t>-5919.114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-4.825</w:t>
            </w:r>
          </w:p>
        </w:tc>
        <w:tc>
          <w:tcPr>
            <w:vAlign w:val="center"/>
          </w:tcPr>
          <w:p>
            <w:r>
              <w:t>-241.227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2" w:name="_Toc23426"/>
      <w:r>
        <w:rPr>
          <w:color w:val="000000"/>
        </w:rPr>
        <w:t>附录</w:t>
      </w:r>
      <w:bookmarkEnd w:id="132"/>
    </w:p>
    <w:p>
      <w:pPr>
        <w:pStyle w:val="4"/>
        <w:widowControl w:val="0"/>
        <w:jc w:val="both"/>
        <w:rPr>
          <w:color w:val="000000"/>
        </w:rPr>
      </w:pPr>
      <w:bookmarkStart w:id="133" w:name="_Toc12670"/>
      <w:r>
        <w:rPr>
          <w:color w:val="000000"/>
        </w:rPr>
        <w:t>工作日/节假日人员逐时在室率(%)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4" w:name="_Toc20000"/>
      <w:r>
        <w:t>工作日/节假日照明开关时间表(%)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5" w:name="_Toc18470"/>
      <w:r>
        <w:t>工作日/节假日设备逐时使用率(%)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10053"/>
      <w:r>
        <w:t>工作日/节假日空调系统运行时间表(1:开,0:关)</w:t>
      </w:r>
      <w:bookmarkEnd w:id="13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7" w:name="_Toc11141"/>
      <w:r>
        <w:t>工作日/节假日新风运行时间表(%)</w:t>
      </w:r>
      <w:bookmarkEnd w:id="137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ZiNzJkZjgxMWZhMDY4MmJjMzE0NWVkZmE2YjYifQ=="/>
    <w:docVar w:name="KSO_WPS_MARK_KEY" w:val="4bf6fd45-9d50-426d-a3bf-afcde699e895"/>
  </w:docVars>
  <w:rsids>
    <w:rsidRoot w:val="19F31CF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9F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5915</Words>
  <Characters>10111</Characters>
  <Lines>24</Lines>
  <Paragraphs>7</Paragraphs>
  <TotalTime>1</TotalTime>
  <ScaleCrop>false</ScaleCrop>
  <LinksUpToDate>false</LinksUpToDate>
  <CharactersWithSpaces>19027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2024-11-30T09:57:00Z</dcterms:created>
  <dc:creator>✘Monsters️</dc:creator>
  <cp:lastModifiedBy>✘Monsters️</cp:lastModifiedBy>
  <dcterms:modified xsi:type="dcterms:W3CDTF">2024-11-30T09:59:49Z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E4424E564353476FBCBB8A6273B0E54B_11</vt:lpwstr>
  </property>
  <property fmtid="{D5CDD505-2E9C-101B-9397-08002B2CF9AE}" pid="3" name="KSOProductBuildVer">
    <vt:lpwstr>2052-11.1.0.14036</vt:lpwstr>
  </property>
</Properties>
</file>