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2B2D" w14:textId="541189D2" w:rsidR="00CF3DEC" w:rsidRPr="00CF3DEC" w:rsidRDefault="00CF3DEC" w:rsidP="00CF3DEC">
      <w:pPr>
        <w:jc w:val="center"/>
        <w:rPr>
          <w:rFonts w:hint="eastAsia"/>
          <w:b/>
          <w:bCs/>
          <w:sz w:val="28"/>
          <w:szCs w:val="28"/>
        </w:rPr>
      </w:pPr>
      <w:r w:rsidRPr="00CF3DEC">
        <w:rPr>
          <w:rFonts w:hint="eastAsia"/>
          <w:b/>
          <w:bCs/>
          <w:sz w:val="28"/>
          <w:szCs w:val="28"/>
        </w:rPr>
        <w:t>人均公共绿地面积计算书</w:t>
      </w:r>
    </w:p>
    <w:p w14:paraId="136A620B" w14:textId="3ABBDCC7" w:rsidR="00CF3DEC" w:rsidRDefault="00CF3DEC" w:rsidP="00CF3DEC">
      <w:pPr>
        <w:rPr>
          <w:rFonts w:hint="eastAsia"/>
        </w:rPr>
      </w:pPr>
      <w:r>
        <w:rPr>
          <w:rFonts w:hint="eastAsia"/>
        </w:rPr>
        <w:t xml:space="preserve">项目名称： </w:t>
      </w:r>
      <w:proofErr w:type="gramStart"/>
      <w:r>
        <w:rPr>
          <w:rFonts w:hint="eastAsia"/>
        </w:rPr>
        <w:t>绿能渔仓</w:t>
      </w:r>
      <w:proofErr w:type="gramEnd"/>
      <w:r>
        <w:rPr>
          <w:rFonts w:hint="eastAsia"/>
        </w:rPr>
        <w:t>-基于渔光互补原理下的</w:t>
      </w:r>
      <w:proofErr w:type="gramStart"/>
      <w:r>
        <w:rPr>
          <w:rFonts w:hint="eastAsia"/>
        </w:rPr>
        <w:t>富氢清水鱼数字</w:t>
      </w:r>
      <w:proofErr w:type="gramEnd"/>
      <w:r>
        <w:rPr>
          <w:rFonts w:hint="eastAsia"/>
        </w:rPr>
        <w:t>生态渔仓设计</w:t>
      </w:r>
    </w:p>
    <w:p w14:paraId="76134A25" w14:textId="3FE11ABA" w:rsidR="00CF3DEC" w:rsidRDefault="00CF3DEC" w:rsidP="00CF3DEC">
      <w:pPr>
        <w:rPr>
          <w:rFonts w:hint="eastAsia"/>
        </w:rPr>
      </w:pPr>
      <w:r>
        <w:rPr>
          <w:rFonts w:hint="eastAsia"/>
        </w:rPr>
        <w:t>日期： 2025年03月15日</w:t>
      </w:r>
    </w:p>
    <w:p w14:paraId="5D106926" w14:textId="77777777" w:rsidR="00CF3DEC" w:rsidRDefault="00CF3DEC" w:rsidP="00CF3DEC">
      <w:pPr>
        <w:rPr>
          <w:rFonts w:hint="eastAsia"/>
        </w:rPr>
      </w:pPr>
      <w:r>
        <w:rPr>
          <w:rFonts w:hint="eastAsia"/>
        </w:rPr>
        <w:t>一、项目概况</w:t>
      </w:r>
    </w:p>
    <w:p w14:paraId="599EAC72" w14:textId="77777777" w:rsidR="00CF3DEC" w:rsidRDefault="00CF3DEC" w:rsidP="00CF3DEC">
      <w:pPr>
        <w:rPr>
          <w:rFonts w:hint="eastAsia"/>
        </w:rPr>
      </w:pPr>
      <w:r>
        <w:rPr>
          <w:rFonts w:hint="eastAsia"/>
        </w:rPr>
        <w:t xml:space="preserve">1.1 项目名称： </w:t>
      </w:r>
      <w:proofErr w:type="gramStart"/>
      <w:r>
        <w:rPr>
          <w:rFonts w:hint="eastAsia"/>
        </w:rPr>
        <w:t>绿能渔仓</w:t>
      </w:r>
      <w:proofErr w:type="gramEnd"/>
      <w:r>
        <w:rPr>
          <w:rFonts w:hint="eastAsia"/>
        </w:rPr>
        <w:t>-基于渔光互补原理下的</w:t>
      </w:r>
      <w:proofErr w:type="gramStart"/>
      <w:r>
        <w:rPr>
          <w:rFonts w:hint="eastAsia"/>
        </w:rPr>
        <w:t>富氢清水鱼数字</w:t>
      </w:r>
      <w:proofErr w:type="gramEnd"/>
      <w:r>
        <w:rPr>
          <w:rFonts w:hint="eastAsia"/>
        </w:rPr>
        <w:t>生态渔仓设计</w:t>
      </w:r>
    </w:p>
    <w:p w14:paraId="374A82DB" w14:textId="77777777" w:rsidR="00CF3DEC" w:rsidRDefault="00CF3DEC" w:rsidP="00CF3DEC">
      <w:pPr>
        <w:rPr>
          <w:rFonts w:hint="eastAsia"/>
        </w:rPr>
      </w:pPr>
      <w:r>
        <w:rPr>
          <w:rFonts w:hint="eastAsia"/>
        </w:rPr>
        <w:t>1.2 建设地点： 浙江省衢州市龙游县龙和渔业文化园</w:t>
      </w:r>
    </w:p>
    <w:p w14:paraId="408AE58C" w14:textId="77777777" w:rsidR="00CF3DEC" w:rsidRDefault="00CF3DEC" w:rsidP="00CF3DEC">
      <w:pPr>
        <w:rPr>
          <w:rFonts w:hint="eastAsia"/>
        </w:rPr>
      </w:pPr>
      <w:r>
        <w:rPr>
          <w:rFonts w:hint="eastAsia"/>
        </w:rPr>
        <w:t>1.3 用地范围： 项目总建筑面积为 23334平方米</w:t>
      </w:r>
    </w:p>
    <w:p w14:paraId="2B950B78" w14:textId="77777777" w:rsidR="00CF3DEC" w:rsidRDefault="00CF3DEC" w:rsidP="00CF3DEC">
      <w:pPr>
        <w:rPr>
          <w:rFonts w:hint="eastAsia"/>
        </w:rPr>
      </w:pPr>
      <w:r>
        <w:rPr>
          <w:rFonts w:hint="eastAsia"/>
        </w:rPr>
        <w:t>1.4 项目性质： 生态渔仓，结合渔光互补、绿色建筑技术</w:t>
      </w:r>
    </w:p>
    <w:p w14:paraId="7DC606FF" w14:textId="39CB1874" w:rsidR="00CF3DEC" w:rsidRDefault="00CF3DEC" w:rsidP="00CF3DEC">
      <w:pPr>
        <w:rPr>
          <w:rFonts w:hint="eastAsia"/>
        </w:rPr>
      </w:pPr>
      <w:r>
        <w:rPr>
          <w:rFonts w:hint="eastAsia"/>
        </w:rPr>
        <w:t>1.5 项目规模：</w:t>
      </w:r>
    </w:p>
    <w:p w14:paraId="0089C254" w14:textId="3F75ED89" w:rsidR="00CF3DEC" w:rsidRDefault="00CF3DEC" w:rsidP="00CF3DEC">
      <w:pPr>
        <w:rPr>
          <w:rFonts w:hint="eastAsia"/>
        </w:rPr>
      </w:pPr>
      <w:r>
        <w:rPr>
          <w:rFonts w:hint="eastAsia"/>
        </w:rPr>
        <w:t>建筑面积：23334平方米</w:t>
      </w:r>
    </w:p>
    <w:p w14:paraId="0F853C84" w14:textId="2A2680FB" w:rsidR="00CF3DEC" w:rsidRDefault="00CF3DEC" w:rsidP="00CF3DEC">
      <w:pPr>
        <w:rPr>
          <w:rFonts w:hint="eastAsia"/>
        </w:rPr>
      </w:pPr>
      <w:r>
        <w:rPr>
          <w:rFonts w:hint="eastAsia"/>
        </w:rPr>
        <w:t>主要功能：生态养殖、清洁能源利用、水资源循环系统</w:t>
      </w:r>
    </w:p>
    <w:p w14:paraId="056F40D7" w14:textId="77777777" w:rsidR="00CF3DEC" w:rsidRDefault="00CF3DEC" w:rsidP="00CF3DEC">
      <w:pPr>
        <w:rPr>
          <w:rFonts w:hint="eastAsia"/>
        </w:rPr>
      </w:pPr>
      <w:r>
        <w:rPr>
          <w:rFonts w:hint="eastAsia"/>
        </w:rPr>
        <w:t>二、计算依据</w:t>
      </w:r>
    </w:p>
    <w:p w14:paraId="4ACD71DD" w14:textId="222ED95A" w:rsidR="00CF3DEC" w:rsidRDefault="00CF3DEC" w:rsidP="00CF3DEC">
      <w:pPr>
        <w:rPr>
          <w:rFonts w:hint="eastAsia"/>
        </w:rPr>
      </w:pPr>
      <w:r>
        <w:rPr>
          <w:rFonts w:hint="eastAsia"/>
        </w:rPr>
        <w:t>2.1 相关规范与标准：</w:t>
      </w:r>
    </w:p>
    <w:p w14:paraId="0360D909" w14:textId="7A552610" w:rsidR="00CF3DEC" w:rsidRDefault="00CF3DEC" w:rsidP="00CF3DEC">
      <w:pPr>
        <w:rPr>
          <w:rFonts w:hint="eastAsia"/>
        </w:rPr>
      </w:pPr>
      <w:r>
        <w:rPr>
          <w:rFonts w:hint="eastAsia"/>
        </w:rPr>
        <w:t>《城市居住区规划设计规范》（GB 50180-2018）</w:t>
      </w:r>
    </w:p>
    <w:p w14:paraId="12BE5466" w14:textId="2FA221E2" w:rsidR="00CF3DEC" w:rsidRDefault="00CF3DEC" w:rsidP="00CF3DEC">
      <w:pPr>
        <w:rPr>
          <w:rFonts w:hint="eastAsia"/>
        </w:rPr>
      </w:pPr>
      <w:r>
        <w:rPr>
          <w:rFonts w:hint="eastAsia"/>
        </w:rPr>
        <w:t>《绿色建筑评价标准》（GB/T 50378-2019）</w:t>
      </w:r>
    </w:p>
    <w:p w14:paraId="049A8266" w14:textId="79FAAE7E" w:rsidR="00CF3DEC" w:rsidRDefault="00CF3DEC" w:rsidP="00CF3DEC">
      <w:pPr>
        <w:rPr>
          <w:rFonts w:hint="eastAsia"/>
        </w:rPr>
      </w:pPr>
      <w:r>
        <w:rPr>
          <w:rFonts w:hint="eastAsia"/>
        </w:rPr>
        <w:t>《城市绿地设计规范》（GB 50420-2007）</w:t>
      </w:r>
    </w:p>
    <w:p w14:paraId="49BE686A" w14:textId="21051E59" w:rsidR="00CF3DEC" w:rsidRDefault="00CF3DEC" w:rsidP="00CF3DEC">
      <w:pPr>
        <w:rPr>
          <w:rFonts w:hint="eastAsia"/>
        </w:rPr>
      </w:pPr>
      <w:r>
        <w:rPr>
          <w:rFonts w:hint="eastAsia"/>
        </w:rPr>
        <w:t>浙江省衢州市城市规划管理部门的相关规定</w:t>
      </w:r>
    </w:p>
    <w:p w14:paraId="488689D7" w14:textId="5C69F87F" w:rsidR="00CF3DEC" w:rsidRDefault="00CF3DEC" w:rsidP="00CF3DEC">
      <w:pPr>
        <w:rPr>
          <w:rFonts w:hint="eastAsia"/>
        </w:rPr>
      </w:pPr>
      <w:r>
        <w:rPr>
          <w:rFonts w:hint="eastAsia"/>
        </w:rPr>
        <w:t>2.2 计算范围：</w:t>
      </w:r>
    </w:p>
    <w:p w14:paraId="29A2D3A5" w14:textId="686F1ADE" w:rsidR="00CF3DEC" w:rsidRDefault="00CF3DEC" w:rsidP="00CF3DEC">
      <w:pPr>
        <w:rPr>
          <w:rFonts w:hint="eastAsia"/>
        </w:rPr>
      </w:pPr>
      <w:r>
        <w:rPr>
          <w:rFonts w:hint="eastAsia"/>
        </w:rPr>
        <w:t>项目用地范围内的公共绿地面积</w:t>
      </w:r>
    </w:p>
    <w:p w14:paraId="5C22C047" w14:textId="0966A4B9" w:rsidR="00CF3DEC" w:rsidRDefault="00CF3DEC" w:rsidP="00CF3DEC">
      <w:pPr>
        <w:rPr>
          <w:rFonts w:hint="eastAsia"/>
        </w:rPr>
      </w:pPr>
      <w:r>
        <w:rPr>
          <w:rFonts w:hint="eastAsia"/>
        </w:rPr>
        <w:t>项目规划人口数量</w:t>
      </w:r>
    </w:p>
    <w:p w14:paraId="3C375E4D" w14:textId="77777777" w:rsidR="00CF3DEC" w:rsidRDefault="00CF3DEC" w:rsidP="00CF3DEC">
      <w:pPr>
        <w:rPr>
          <w:rFonts w:hint="eastAsia"/>
        </w:rPr>
      </w:pPr>
      <w:r>
        <w:rPr>
          <w:rFonts w:hint="eastAsia"/>
        </w:rPr>
        <w:t>三、计算方法</w:t>
      </w:r>
    </w:p>
    <w:p w14:paraId="33298923" w14:textId="77777777" w:rsidR="00CF3DEC" w:rsidRDefault="00CF3DEC" w:rsidP="00CF3DEC">
      <w:pPr>
        <w:rPr>
          <w:rFonts w:hint="eastAsia"/>
        </w:rPr>
      </w:pPr>
      <w:r>
        <w:rPr>
          <w:rFonts w:hint="eastAsia"/>
        </w:rPr>
        <w:t>3.1 人均公共绿地面积定义：</w:t>
      </w:r>
    </w:p>
    <w:p w14:paraId="2DE6982C" w14:textId="41C9FA2A" w:rsidR="00CF3DEC" w:rsidRDefault="00CF3DEC" w:rsidP="00CF3DEC">
      <w:pPr>
        <w:rPr>
          <w:rFonts w:hint="eastAsia"/>
        </w:rPr>
      </w:pPr>
      <w:r>
        <w:rPr>
          <w:rFonts w:hint="eastAsia"/>
        </w:rPr>
        <w:t>人均公共绿地面积是指项目用地范围内公共绿地面积与项目规划人口数量的比值，单位为平方米/人。</w:t>
      </w:r>
    </w:p>
    <w:p w14:paraId="02689AD8" w14:textId="77777777" w:rsidR="00CF3DEC" w:rsidRDefault="00CF3DEC" w:rsidP="00CF3DEC">
      <w:pPr>
        <w:rPr>
          <w:rFonts w:hint="eastAsia"/>
        </w:rPr>
      </w:pPr>
      <w:r>
        <w:rPr>
          <w:rFonts w:hint="eastAsia"/>
        </w:rPr>
        <w:t>3.2 计算公式：</w:t>
      </w:r>
    </w:p>
    <w:p w14:paraId="2BCCF06A" w14:textId="3A919C4E" w:rsidR="00CF3DEC" w:rsidRDefault="00CF3DEC" w:rsidP="00CF3DEC">
      <w:pPr>
        <w:rPr>
          <w:rFonts w:hint="eastAsia"/>
        </w:rPr>
      </w:pPr>
      <w:r>
        <w:rPr>
          <w:rFonts w:hint="eastAsia"/>
        </w:rPr>
        <w:t>人均公共绿地面积（平方米/人）= 公共绿地面积（平方米） / 规划人口数量（人）</w:t>
      </w:r>
    </w:p>
    <w:p w14:paraId="702FD32A" w14:textId="77777777" w:rsidR="00CF3DEC" w:rsidRDefault="00CF3DEC" w:rsidP="00CF3DEC">
      <w:pPr>
        <w:rPr>
          <w:rFonts w:hint="eastAsia"/>
        </w:rPr>
      </w:pPr>
      <w:r>
        <w:rPr>
          <w:rFonts w:hint="eastAsia"/>
        </w:rPr>
        <w:lastRenderedPageBreak/>
        <w:t>四、计算过程</w:t>
      </w:r>
    </w:p>
    <w:p w14:paraId="75C4E173" w14:textId="77777777" w:rsidR="00CF3DEC" w:rsidRDefault="00CF3DEC" w:rsidP="00CF3DEC">
      <w:pPr>
        <w:rPr>
          <w:rFonts w:hint="eastAsia"/>
        </w:rPr>
      </w:pPr>
      <w:r>
        <w:rPr>
          <w:rFonts w:hint="eastAsia"/>
        </w:rPr>
        <w:t>4.1 公共绿地面积计算：</w:t>
      </w:r>
    </w:p>
    <w:p w14:paraId="2012246B" w14:textId="7F262730" w:rsidR="00CF3DEC" w:rsidRDefault="00CF3DEC" w:rsidP="00CF3DEC">
      <w:pPr>
        <w:rPr>
          <w:rFonts w:hint="eastAsia"/>
        </w:rPr>
      </w:pPr>
      <w:r>
        <w:rPr>
          <w:rFonts w:hint="eastAsia"/>
        </w:rPr>
        <w:t>根据项目总平面图和相关设计图纸，项目用地范围内的公共绿地面积包括：</w:t>
      </w:r>
    </w:p>
    <w:p w14:paraId="2B132C2A" w14:textId="75BA47E2" w:rsidR="00CF3DEC" w:rsidRDefault="00CF3DEC" w:rsidP="00CF3DEC">
      <w:pPr>
        <w:rPr>
          <w:rFonts w:hint="eastAsia"/>
        </w:rPr>
      </w:pPr>
      <w:r>
        <w:rPr>
          <w:rFonts w:hint="eastAsia"/>
        </w:rPr>
        <w:t>庭院绿地面积：500平方米</w:t>
      </w:r>
    </w:p>
    <w:p w14:paraId="1399E9F3" w14:textId="0664953A" w:rsidR="00CF3DEC" w:rsidRPr="00CF3DEC" w:rsidRDefault="00CF3DEC" w:rsidP="00CF3DEC">
      <w:pPr>
        <w:rPr>
          <w:rFonts w:hint="eastAsia"/>
        </w:rPr>
      </w:pPr>
      <w:proofErr w:type="gramStart"/>
      <w:r>
        <w:rPr>
          <w:rFonts w:hint="eastAsia"/>
        </w:rPr>
        <w:t>游憩场</w:t>
      </w:r>
      <w:proofErr w:type="gramEnd"/>
      <w:r>
        <w:rPr>
          <w:rFonts w:hint="eastAsia"/>
        </w:rPr>
        <w:t>绿地面积：800平方米</w:t>
      </w:r>
    </w:p>
    <w:p w14:paraId="24821CE3" w14:textId="5BBD89BE" w:rsidR="00CF3DEC" w:rsidRDefault="00CF3DEC" w:rsidP="00CF3DEC">
      <w:pPr>
        <w:rPr>
          <w:rFonts w:hint="eastAsia"/>
        </w:rPr>
      </w:pPr>
      <w:r>
        <w:rPr>
          <w:rFonts w:hint="eastAsia"/>
        </w:rPr>
        <w:t>乔木林地面积：1000平方米</w:t>
      </w:r>
    </w:p>
    <w:p w14:paraId="0ADBFB8C" w14:textId="115A164B" w:rsidR="00CF3DEC" w:rsidRDefault="00CF3DEC" w:rsidP="00CF3DEC">
      <w:pPr>
        <w:rPr>
          <w:rFonts w:hint="eastAsia"/>
        </w:rPr>
      </w:pPr>
      <w:r>
        <w:rPr>
          <w:rFonts w:hint="eastAsia"/>
        </w:rPr>
        <w:t>其他绿地面积：200平方米</w:t>
      </w:r>
    </w:p>
    <w:p w14:paraId="2D4A5A39" w14:textId="4815EDAC" w:rsidR="00CF3DEC" w:rsidRDefault="00CF3DEC" w:rsidP="00CF3DEC">
      <w:pPr>
        <w:rPr>
          <w:rFonts w:hint="eastAsia"/>
        </w:rPr>
      </w:pPr>
      <w:r>
        <w:rPr>
          <w:rFonts w:hint="eastAsia"/>
        </w:rPr>
        <w:t>总公共绿地面积 = 500 + 800 + 1000 + 200 = 2500平方米</w:t>
      </w:r>
    </w:p>
    <w:p w14:paraId="1873FD39" w14:textId="77777777" w:rsidR="00CF3DEC" w:rsidRDefault="00CF3DEC" w:rsidP="00CF3DEC">
      <w:pPr>
        <w:rPr>
          <w:rFonts w:hint="eastAsia"/>
        </w:rPr>
      </w:pPr>
      <w:r>
        <w:rPr>
          <w:rFonts w:hint="eastAsia"/>
        </w:rPr>
        <w:t>4.2 规划人口数量：</w:t>
      </w:r>
    </w:p>
    <w:p w14:paraId="331BCDC1" w14:textId="0C4BC2B1" w:rsidR="00CF3DEC" w:rsidRDefault="00CF3DEC" w:rsidP="00CF3DEC">
      <w:pPr>
        <w:rPr>
          <w:rFonts w:hint="eastAsia"/>
        </w:rPr>
      </w:pPr>
      <w:r>
        <w:rPr>
          <w:rFonts w:hint="eastAsia"/>
        </w:rPr>
        <w:t>根据项目规划，项目内预计工作人员和访客数量为 100人。</w:t>
      </w:r>
    </w:p>
    <w:p w14:paraId="4CB127CD" w14:textId="77777777" w:rsidR="00CF3DEC" w:rsidRDefault="00CF3DEC" w:rsidP="00CF3DEC">
      <w:pPr>
        <w:rPr>
          <w:rFonts w:hint="eastAsia"/>
        </w:rPr>
      </w:pPr>
      <w:r>
        <w:rPr>
          <w:rFonts w:hint="eastAsia"/>
        </w:rPr>
        <w:t>4.3 人均公共绿地面积计算：</w:t>
      </w:r>
    </w:p>
    <w:p w14:paraId="09874E3E" w14:textId="5178C6A8" w:rsidR="00CF3DEC" w:rsidRDefault="00CF3DEC" w:rsidP="00CF3DEC">
      <w:pPr>
        <w:rPr>
          <w:rFonts w:hint="eastAsia"/>
        </w:rPr>
      </w:pPr>
      <w:r>
        <w:rPr>
          <w:rFonts w:hint="eastAsia"/>
        </w:rPr>
        <w:t>人均公共绿地面积 = 2500平方米 / 100人 = 25平方米/人</w:t>
      </w:r>
    </w:p>
    <w:p w14:paraId="26D147B6" w14:textId="77777777" w:rsidR="00CF3DEC" w:rsidRDefault="00CF3DEC" w:rsidP="00CF3DEC">
      <w:pPr>
        <w:rPr>
          <w:rFonts w:hint="eastAsia"/>
        </w:rPr>
      </w:pPr>
      <w:r>
        <w:rPr>
          <w:rFonts w:hint="eastAsia"/>
        </w:rPr>
        <w:t>五、计算结果</w:t>
      </w:r>
    </w:p>
    <w:p w14:paraId="45B8EAE2" w14:textId="77777777" w:rsidR="00CF3DEC" w:rsidRDefault="00CF3DEC" w:rsidP="00CF3DEC">
      <w:pPr>
        <w:rPr>
          <w:rFonts w:hint="eastAsia"/>
        </w:rPr>
      </w:pPr>
      <w:r>
        <w:rPr>
          <w:rFonts w:hint="eastAsia"/>
        </w:rPr>
        <w:t>5.1 公共绿地面积： 2500平方米</w:t>
      </w:r>
    </w:p>
    <w:p w14:paraId="6217AACE" w14:textId="77777777" w:rsidR="00CF3DEC" w:rsidRDefault="00CF3DEC" w:rsidP="00CF3DEC">
      <w:pPr>
        <w:rPr>
          <w:rFonts w:hint="eastAsia"/>
        </w:rPr>
      </w:pPr>
      <w:r>
        <w:rPr>
          <w:rFonts w:hint="eastAsia"/>
        </w:rPr>
        <w:t>5.2 规划人口数量： 100人</w:t>
      </w:r>
    </w:p>
    <w:p w14:paraId="4AFBEA2F" w14:textId="216A0A60" w:rsidR="00CF3DEC" w:rsidRDefault="00CF3DEC" w:rsidP="00CF3DEC">
      <w:pPr>
        <w:rPr>
          <w:rFonts w:hint="eastAsia"/>
        </w:rPr>
      </w:pPr>
      <w:r>
        <w:rPr>
          <w:rFonts w:hint="eastAsia"/>
        </w:rPr>
        <w:t>5.3 人均公共绿地面积： 25平方米/人</w:t>
      </w:r>
    </w:p>
    <w:p w14:paraId="3D53DC59" w14:textId="77777777" w:rsidR="00CF3DEC" w:rsidRDefault="00CF3DEC" w:rsidP="00CF3DEC">
      <w:pPr>
        <w:rPr>
          <w:rFonts w:hint="eastAsia"/>
        </w:rPr>
      </w:pPr>
      <w:r>
        <w:rPr>
          <w:rFonts w:hint="eastAsia"/>
        </w:rPr>
        <w:t>六、结论</w:t>
      </w:r>
    </w:p>
    <w:p w14:paraId="68C95864" w14:textId="77777777" w:rsidR="00CF3DEC" w:rsidRDefault="00CF3DEC" w:rsidP="00CF3DEC">
      <w:r>
        <w:rPr>
          <w:rFonts w:hint="eastAsia"/>
        </w:rPr>
        <w:t>根据上述计算，本项目的人均公共绿地面积为 25平方米/人，满足《城市居住区规划设计规范》（GB 50180-2018）和《绿色建筑评价标准》（GB/T 50378-2019）的相关要求。</w:t>
      </w:r>
    </w:p>
    <w:p w14:paraId="2ABA1105" w14:textId="77777777" w:rsidR="00CF3DEC" w:rsidRDefault="00CF3DEC" w:rsidP="00CF3DEC"/>
    <w:p w14:paraId="4D102956" w14:textId="0F50D2F7" w:rsidR="00CF3DEC" w:rsidRDefault="00CF3DEC" w:rsidP="00CF3DEC">
      <w:r>
        <w:rPr>
          <w:rFonts w:hint="eastAsia"/>
        </w:rPr>
        <w:t xml:space="preserve">注： </w:t>
      </w:r>
      <w:proofErr w:type="gramStart"/>
      <w:r>
        <w:rPr>
          <w:rFonts w:hint="eastAsia"/>
        </w:rPr>
        <w:t>本计算</w:t>
      </w:r>
      <w:proofErr w:type="gramEnd"/>
      <w:r>
        <w:rPr>
          <w:rFonts w:hint="eastAsia"/>
        </w:rPr>
        <w:t>书仅供参考，具体计算应根据项目实际情况和相关规范进行调整。</w:t>
      </w:r>
    </w:p>
    <w:sectPr w:rsidR="00CF3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EC"/>
    <w:rsid w:val="00053E54"/>
    <w:rsid w:val="00CF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53E1"/>
  <w15:chartTrackingRefBased/>
  <w15:docId w15:val="{8CF4CB24-AA90-48BB-8EEE-884BF82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DE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3DE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3DE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3DE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3DE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F3DE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3D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D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D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DE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3DE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3DE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3DEC"/>
    <w:rPr>
      <w:rFonts w:cstheme="majorBidi"/>
      <w:color w:val="0F4761" w:themeColor="accent1" w:themeShade="BF"/>
      <w:sz w:val="28"/>
      <w:szCs w:val="28"/>
    </w:rPr>
  </w:style>
  <w:style w:type="character" w:customStyle="1" w:styleId="50">
    <w:name w:val="标题 5 字符"/>
    <w:basedOn w:val="a0"/>
    <w:link w:val="5"/>
    <w:uiPriority w:val="9"/>
    <w:semiHidden/>
    <w:rsid w:val="00CF3DEC"/>
    <w:rPr>
      <w:rFonts w:cstheme="majorBidi"/>
      <w:color w:val="0F4761" w:themeColor="accent1" w:themeShade="BF"/>
      <w:sz w:val="24"/>
    </w:rPr>
  </w:style>
  <w:style w:type="character" w:customStyle="1" w:styleId="60">
    <w:name w:val="标题 6 字符"/>
    <w:basedOn w:val="a0"/>
    <w:link w:val="6"/>
    <w:uiPriority w:val="9"/>
    <w:semiHidden/>
    <w:rsid w:val="00CF3DEC"/>
    <w:rPr>
      <w:rFonts w:cstheme="majorBidi"/>
      <w:b/>
      <w:bCs/>
      <w:color w:val="0F4761" w:themeColor="accent1" w:themeShade="BF"/>
    </w:rPr>
  </w:style>
  <w:style w:type="character" w:customStyle="1" w:styleId="70">
    <w:name w:val="标题 7 字符"/>
    <w:basedOn w:val="a0"/>
    <w:link w:val="7"/>
    <w:uiPriority w:val="9"/>
    <w:semiHidden/>
    <w:rsid w:val="00CF3DEC"/>
    <w:rPr>
      <w:rFonts w:cstheme="majorBidi"/>
      <w:b/>
      <w:bCs/>
      <w:color w:val="595959" w:themeColor="text1" w:themeTint="A6"/>
    </w:rPr>
  </w:style>
  <w:style w:type="character" w:customStyle="1" w:styleId="80">
    <w:name w:val="标题 8 字符"/>
    <w:basedOn w:val="a0"/>
    <w:link w:val="8"/>
    <w:uiPriority w:val="9"/>
    <w:semiHidden/>
    <w:rsid w:val="00CF3DEC"/>
    <w:rPr>
      <w:rFonts w:cstheme="majorBidi"/>
      <w:color w:val="595959" w:themeColor="text1" w:themeTint="A6"/>
    </w:rPr>
  </w:style>
  <w:style w:type="character" w:customStyle="1" w:styleId="90">
    <w:name w:val="标题 9 字符"/>
    <w:basedOn w:val="a0"/>
    <w:link w:val="9"/>
    <w:uiPriority w:val="9"/>
    <w:semiHidden/>
    <w:rsid w:val="00CF3DEC"/>
    <w:rPr>
      <w:rFonts w:eastAsiaTheme="majorEastAsia" w:cstheme="majorBidi"/>
      <w:color w:val="595959" w:themeColor="text1" w:themeTint="A6"/>
    </w:rPr>
  </w:style>
  <w:style w:type="paragraph" w:styleId="a3">
    <w:name w:val="Title"/>
    <w:basedOn w:val="a"/>
    <w:next w:val="a"/>
    <w:link w:val="a4"/>
    <w:uiPriority w:val="10"/>
    <w:qFormat/>
    <w:rsid w:val="00CF3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DEC"/>
    <w:pPr>
      <w:spacing w:before="160"/>
      <w:jc w:val="center"/>
    </w:pPr>
    <w:rPr>
      <w:i/>
      <w:iCs/>
      <w:color w:val="404040" w:themeColor="text1" w:themeTint="BF"/>
    </w:rPr>
  </w:style>
  <w:style w:type="character" w:customStyle="1" w:styleId="a8">
    <w:name w:val="引用 字符"/>
    <w:basedOn w:val="a0"/>
    <w:link w:val="a7"/>
    <w:uiPriority w:val="29"/>
    <w:rsid w:val="00CF3DEC"/>
    <w:rPr>
      <w:i/>
      <w:iCs/>
      <w:color w:val="404040" w:themeColor="text1" w:themeTint="BF"/>
    </w:rPr>
  </w:style>
  <w:style w:type="paragraph" w:styleId="a9">
    <w:name w:val="List Paragraph"/>
    <w:basedOn w:val="a"/>
    <w:uiPriority w:val="34"/>
    <w:qFormat/>
    <w:rsid w:val="00CF3DEC"/>
    <w:pPr>
      <w:ind w:left="720"/>
      <w:contextualSpacing/>
    </w:pPr>
  </w:style>
  <w:style w:type="character" w:styleId="aa">
    <w:name w:val="Intense Emphasis"/>
    <w:basedOn w:val="a0"/>
    <w:uiPriority w:val="21"/>
    <w:qFormat/>
    <w:rsid w:val="00CF3DEC"/>
    <w:rPr>
      <w:i/>
      <w:iCs/>
      <w:color w:val="0F4761" w:themeColor="accent1" w:themeShade="BF"/>
    </w:rPr>
  </w:style>
  <w:style w:type="paragraph" w:styleId="ab">
    <w:name w:val="Intense Quote"/>
    <w:basedOn w:val="a"/>
    <w:next w:val="a"/>
    <w:link w:val="ac"/>
    <w:uiPriority w:val="30"/>
    <w:qFormat/>
    <w:rsid w:val="00CF3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3DEC"/>
    <w:rPr>
      <w:i/>
      <w:iCs/>
      <w:color w:val="0F4761" w:themeColor="accent1" w:themeShade="BF"/>
    </w:rPr>
  </w:style>
  <w:style w:type="character" w:styleId="ad">
    <w:name w:val="Intense Reference"/>
    <w:basedOn w:val="a0"/>
    <w:uiPriority w:val="32"/>
    <w:qFormat/>
    <w:rsid w:val="00CF3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DE4027</dc:creator>
  <cp:keywords/>
  <dc:description/>
  <cp:lastModifiedBy>DE4027</cp:lastModifiedBy>
  <cp:revision>1</cp:revision>
  <dcterms:created xsi:type="dcterms:W3CDTF">2025-03-16T01:23:00Z</dcterms:created>
  <dcterms:modified xsi:type="dcterms:W3CDTF">2025-03-16T01:24:00Z</dcterms:modified>
</cp:coreProperties>
</file>