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云栖绿廊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重庆</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2025年03月02日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T19132052027</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_Toc20214 </w:instrText>
      </w:r>
      <w:r>
        <w:rPr>
          <w:rFonts w:ascii="宋体" w:hAnsi="宋体"/>
          <w:bCs w:val="0"/>
          <w:caps/>
        </w:rPr>
        <w:fldChar w:fldCharType="separate"/>
      </w:r>
      <w:r>
        <w:rPr>
          <w:rFonts w:hint="eastAsia"/>
        </w:rPr>
        <w:t>1 项目概况</w:t>
      </w:r>
      <w:r>
        <w:tab/>
      </w:r>
      <w:r>
        <w:fldChar w:fldCharType="begin"/>
      </w:r>
      <w:r>
        <w:instrText xml:space="preserve"> PAGEREF _Toc20214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_Toc28690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_Toc28690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_Toc28693 </w:instrText>
      </w:r>
      <w:r>
        <w:fldChar w:fldCharType="separate"/>
      </w:r>
      <w:r>
        <w:rPr>
          <w:rFonts w:hint="eastAsia"/>
        </w:rPr>
        <w:t>2 计算</w:t>
      </w:r>
      <w:r>
        <w:t>依据</w:t>
      </w:r>
      <w:r>
        <w:tab/>
      </w:r>
      <w:r>
        <w:fldChar w:fldCharType="begin"/>
      </w:r>
      <w:r>
        <w:instrText xml:space="preserve"> PAGEREF _Toc28693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_Toc20407 </w:instrText>
      </w:r>
      <w:r>
        <w:fldChar w:fldCharType="separate"/>
      </w:r>
      <w:r>
        <w:rPr>
          <w:rFonts w:hint="eastAsia"/>
        </w:rPr>
        <w:t>3 参考</w:t>
      </w:r>
      <w:r>
        <w:t>标准</w:t>
      </w:r>
      <w:r>
        <w:tab/>
      </w:r>
      <w:r>
        <w:fldChar w:fldCharType="begin"/>
      </w:r>
      <w:r>
        <w:instrText xml:space="preserve"> PAGEREF _Toc20407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_Toc13503 </w:instrText>
      </w:r>
      <w:r>
        <w:fldChar w:fldCharType="separate"/>
      </w:r>
      <w:r>
        <w:rPr>
          <w:rFonts w:hint="eastAsia"/>
        </w:rPr>
        <w:t>4 计算方法</w:t>
      </w:r>
      <w:r>
        <w:tab/>
      </w:r>
      <w:r>
        <w:fldChar w:fldCharType="begin"/>
      </w:r>
      <w:r>
        <w:instrText xml:space="preserve"> PAGEREF _Toc13503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_Toc20753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_Toc20753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_Toc21577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_Toc21577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_Toc21195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_Toc21195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_Toc19636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_Toc19636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_Toc5337 </w:instrText>
      </w:r>
      <w:r>
        <w:fldChar w:fldCharType="separate"/>
      </w:r>
      <w:r>
        <w:rPr>
          <w:rFonts w:hint="eastAsia"/>
        </w:rPr>
        <w:t>5 计算参数</w:t>
      </w:r>
      <w:r>
        <w:tab/>
      </w:r>
      <w:r>
        <w:fldChar w:fldCharType="begin"/>
      </w:r>
      <w:r>
        <w:instrText xml:space="preserve"> PAGEREF _Toc5337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_Toc6202 </w:instrText>
      </w:r>
      <w:r>
        <w:fldChar w:fldCharType="separate"/>
      </w:r>
      <w:r>
        <w:rPr>
          <w:rFonts w:hint="eastAsia"/>
        </w:rPr>
        <w:t>6 计算结果</w:t>
      </w:r>
      <w:r>
        <w:tab/>
      </w:r>
      <w:r>
        <w:fldChar w:fldCharType="begin"/>
      </w:r>
      <w:r>
        <w:instrText xml:space="preserve"> PAGEREF _Toc6202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_Toc16988 </w:instrText>
      </w:r>
      <w:r>
        <w:fldChar w:fldCharType="separate"/>
      </w:r>
      <w:r>
        <w:rPr>
          <w:rFonts w:hint="eastAsia"/>
          <w:lang w:val="en-GB"/>
        </w:rPr>
        <w:t xml:space="preserve">6.1 </w:t>
      </w:r>
      <w:r>
        <w:rPr>
          <w:rFonts w:hint="eastAsia"/>
        </w:rPr>
        <w:t>PMV-PPD指标</w:t>
      </w:r>
      <w:r>
        <w:tab/>
      </w:r>
      <w:r>
        <w:fldChar w:fldCharType="begin"/>
      </w:r>
      <w:r>
        <w:instrText xml:space="preserve"> PAGEREF _Toc16988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_Toc4116 </w:instrText>
      </w:r>
      <w:r>
        <w:fldChar w:fldCharType="separate"/>
      </w:r>
      <w:r>
        <w:rPr>
          <w:rFonts w:hint="eastAsia"/>
          <w:lang w:val="en-GB"/>
        </w:rPr>
        <w:t xml:space="preserve">6.2 </w:t>
      </w:r>
      <w:r>
        <w:rPr>
          <w:rFonts w:hint="eastAsia"/>
        </w:rPr>
        <w:t>达标情况</w:t>
      </w:r>
      <w:r>
        <w:tab/>
      </w:r>
      <w:r>
        <w:fldChar w:fldCharType="begin"/>
      </w:r>
      <w:r>
        <w:instrText xml:space="preserve"> PAGEREF _Toc4116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_Toc18366 </w:instrText>
      </w:r>
      <w:r>
        <w:fldChar w:fldCharType="separate"/>
      </w:r>
      <w:r>
        <w:rPr>
          <w:rFonts w:hint="eastAsia"/>
        </w:rPr>
        <w:t>7 结论</w:t>
      </w:r>
      <w:r>
        <w:tab/>
      </w:r>
      <w:r>
        <w:fldChar w:fldCharType="begin"/>
      </w:r>
      <w:r>
        <w:instrText xml:space="preserve"> PAGEREF _Toc18366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44662463"/>
      <w:bookmarkStart w:id="14" w:name="_Toc20214"/>
      <w:r>
        <w:rPr>
          <w:rFonts w:hint="eastAsia"/>
        </w:rPr>
        <w:t>项目概况</w:t>
      </w:r>
      <w:bookmarkEnd w:id="12"/>
      <w:bookmarkEnd w:id="13"/>
      <w:bookmarkEnd w:id="14"/>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3"/>
        <w:ind w:firstLine="0" w:firstLineChars="0"/>
        <w:jc w:val="center"/>
        <w:rPr>
          <w:lang w:val="en-US"/>
        </w:rPr>
      </w:pPr>
    </w:p>
    <w:p>
      <w:pPr>
        <w:pStyle w:val="4"/>
      </w:pPr>
      <w:bookmarkStart w:id="16" w:name="_Toc452108761"/>
      <w:bookmarkStart w:id="17" w:name="_Toc28690"/>
      <w:bookmarkStart w:id="18" w:name="_Toc44662464"/>
      <w:r>
        <w:rPr>
          <w:rFonts w:hint="eastAsia"/>
        </w:rPr>
        <w:t>三</w:t>
      </w:r>
      <w:r>
        <w:t>维视图</w:t>
      </w:r>
      <w:bookmarkEnd w:id="16"/>
      <w:bookmarkEnd w:id="17"/>
      <w:bookmarkEnd w:id="18"/>
    </w:p>
    <w:p>
      <w:pPr>
        <w:pStyle w:val="3"/>
      </w:pPr>
      <w:r>
        <w:rPr>
          <w:rFonts w:hint="eastAsia" w:ascii="微软雅黑" w:hAnsi="微软雅黑" w:eastAsia="微软雅黑"/>
          <w:b/>
          <w:sz w:val="18"/>
          <w:szCs w:val="21"/>
        </w:rPr>
        <w:drawing>
          <wp:inline distT="0" distB="0" distL="114300" distR="114300">
            <wp:extent cx="6388735" cy="3481070"/>
            <wp:effectExtent l="0" t="0" r="12065" b="11430"/>
            <wp:docPr id="1" name="图片 1" descr="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模型观察"/>
                    <pic:cNvPicPr>
                      <a:picLocks noChangeAspect="1"/>
                    </pic:cNvPicPr>
                  </pic:nvPicPr>
                  <pic:blipFill>
                    <a:blip r:embed="rId10"/>
                    <a:stretch>
                      <a:fillRect/>
                    </a:stretch>
                  </pic:blipFill>
                  <pic:spPr>
                    <a:xfrm>
                      <a:off x="0" y="0"/>
                      <a:ext cx="6388735" cy="3481070"/>
                    </a:xfrm>
                    <a:prstGeom prst="rect">
                      <a:avLst/>
                    </a:prstGeom>
                  </pic:spPr>
                </pic:pic>
              </a:graphicData>
            </a:graphic>
          </wp:inline>
        </w:drawing>
      </w:r>
      <w:bookmarkStart w:id="64" w:name="_GoBack"/>
      <w:bookmarkEnd w:id="64"/>
    </w:p>
    <w:p>
      <w:pPr>
        <w:pStyle w:val="2"/>
      </w:pPr>
      <w:bookmarkStart w:id="19" w:name="_Toc452108762"/>
      <w:bookmarkStart w:id="20" w:name="_Toc28693"/>
      <w:bookmarkStart w:id="21" w:name="TitleFormat"/>
      <w:bookmarkStart w:id="22" w:name="_Toc44662465"/>
      <w:r>
        <w:rPr>
          <w:rFonts w:hint="eastAsia"/>
        </w:rPr>
        <w:t>计算</w:t>
      </w:r>
      <w:r>
        <w:t>依据</w:t>
      </w:r>
      <w:bookmarkEnd w:id="19"/>
      <w:bookmarkEnd w:id="20"/>
      <w:bookmarkEnd w:id="21"/>
      <w:bookmarkEnd w:id="22"/>
    </w:p>
    <w:p>
      <w:pPr>
        <w:pStyle w:val="3"/>
        <w:ind w:firstLine="199" w:firstLineChars="95"/>
        <w:rPr>
          <w:lang w:val="en-US"/>
        </w:rPr>
      </w:pPr>
      <w:bookmarkStart w:id="23" w:name="_Toc452108763"/>
      <w:r>
        <w:rPr>
          <w:rFonts w:hint="eastAsia"/>
          <w:lang w:val="en-US"/>
        </w:rPr>
        <w:t>本项目主要参照资料为：</w:t>
      </w:r>
    </w:p>
    <w:p>
      <w:pPr>
        <w:pStyle w:val="3"/>
        <w:numPr>
          <w:ilvl w:val="0"/>
          <w:numId w:val="2"/>
        </w:numPr>
        <w:ind w:left="0" w:firstLine="200" w:firstLineChars="0"/>
        <w:rPr>
          <w:lang w:val="en-US"/>
        </w:rPr>
      </w:pPr>
      <w:bookmarkStart w:id="24" w:name="参考标准名称1"/>
      <w:r>
        <w:rPr>
          <w:rFonts w:hint="eastAsia"/>
          <w:lang w:val="en-US"/>
        </w:rPr>
        <w:t>《绿色建筑评价标准》GB/T 50378</w:t>
      </w:r>
      <w:r>
        <w:rPr>
          <w:lang w:val="en-US"/>
        </w:rPr>
        <w:t>-2019</w:t>
      </w:r>
      <w:bookmarkEnd w:id="2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5"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7" w:name="_Toc20407"/>
      <w:bookmarkStart w:id="28" w:name="_Toc44662466"/>
      <w:r>
        <w:rPr>
          <w:rFonts w:hint="eastAsia"/>
        </w:rPr>
        <w:t>参考</w:t>
      </w:r>
      <w:r>
        <w:t>标准</w:t>
      </w:r>
      <w:bookmarkEnd w:id="23"/>
      <w:bookmarkEnd w:id="27"/>
      <w:bookmarkEnd w:id="28"/>
    </w:p>
    <w:p>
      <w:pPr>
        <w:pStyle w:val="3"/>
        <w:ind w:firstLine="420"/>
        <w:rPr>
          <w:lang w:val="en-US"/>
        </w:rPr>
      </w:pPr>
      <w:bookmarkStart w:id="29" w:name="_Toc452108764"/>
      <w:bookmarkStart w:id="30" w:name="_Toc451698935"/>
      <w:r>
        <w:rPr>
          <w:rFonts w:hint="eastAsia"/>
          <w:lang w:val="en-US"/>
        </w:rPr>
        <w:t>室内热湿环境评价的主要依据为</w:t>
      </w:r>
      <w:bookmarkStart w:id="31" w:name="参考标准名称2"/>
      <w:r>
        <w:rPr>
          <w:rFonts w:hint="eastAsia"/>
          <w:lang w:val="en-US"/>
        </w:rPr>
        <w:t>《绿色建筑评价标准》GB/T 50378-2019</w:t>
      </w:r>
      <w:bookmarkEnd w:id="31"/>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2" w:name="_Toc44662467"/>
      <w:bookmarkStart w:id="33" w:name="_Toc13503"/>
      <w:r>
        <w:rPr>
          <w:rFonts w:hint="eastAsia"/>
        </w:rPr>
        <w:t>计算</w:t>
      </w:r>
      <w:bookmarkEnd w:id="29"/>
      <w:bookmarkEnd w:id="30"/>
      <w:r>
        <w:rPr>
          <w:rFonts w:hint="eastAsia"/>
        </w:rPr>
        <w:t>方法</w:t>
      </w:r>
      <w:bookmarkEnd w:id="32"/>
      <w:bookmarkEnd w:id="33"/>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34" w:name="_Toc20753"/>
      <w:bookmarkStart w:id="35" w:name="_Toc44662472"/>
      <w:r>
        <w:rPr>
          <w:rFonts w:hint="eastAsia"/>
        </w:rPr>
        <w:t>热湿环境评价</w:t>
      </w:r>
      <w:r>
        <w:t>指标</w:t>
      </w:r>
      <w:r>
        <w:rPr>
          <w:rFonts w:hint="eastAsia"/>
        </w:rPr>
        <w:t>计算</w:t>
      </w:r>
      <w:bookmarkEnd w:id="34"/>
      <w:bookmarkEnd w:id="35"/>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6" w:name="_Hlk13601794"/>
      <w:r>
        <w:rPr>
          <w:rFonts w:hint="eastAsia"/>
          <w:lang w:val="en-US"/>
        </w:rPr>
        <w:t>本项目采用《民用建筑室内热湿环境评价标准》GB/T 50785-2012中所示的计算程序完成上述PMV的计算。</w:t>
      </w:r>
    </w:p>
    <w:p>
      <w:pPr>
        <w:pStyle w:val="5"/>
      </w:pPr>
      <w:bookmarkStart w:id="37" w:name="_Toc44662473"/>
      <w:bookmarkStart w:id="38" w:name="_Toc21577"/>
      <w:r>
        <w:t>PMV</w:t>
      </w:r>
      <w:r>
        <w:rPr>
          <w:rFonts w:hint="eastAsia"/>
        </w:rPr>
        <w:t>计算公式</w:t>
      </w:r>
      <w:bookmarkEnd w:id="37"/>
      <w:bookmarkEnd w:id="38"/>
    </w:p>
    <w:bookmarkEnd w:id="36"/>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39" w:name="_Toc44662474"/>
      <w:bookmarkStart w:id="40" w:name="_Toc21195"/>
      <w:r>
        <w:t>PPD</w:t>
      </w:r>
      <w:r>
        <w:rPr>
          <w:rFonts w:hint="eastAsia"/>
        </w:rPr>
        <w:t>计算公式</w:t>
      </w:r>
      <w:bookmarkEnd w:id="39"/>
      <w:bookmarkEnd w:id="40"/>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1" w:name="_Toc44662475"/>
      <w:bookmarkStart w:id="42" w:name="_Toc19636"/>
      <w:r>
        <w:rPr>
          <w:rFonts w:hint="eastAsia"/>
        </w:rPr>
        <w:t>PMV和PPD达标比例计算</w:t>
      </w:r>
      <w:bookmarkEnd w:id="41"/>
      <w:bookmarkEnd w:id="42"/>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43" w:name="_Toc5337"/>
      <w:r>
        <w:rPr>
          <w:rFonts w:hint="eastAsia"/>
        </w:rPr>
        <w:t>计算参数</w:t>
      </w:r>
      <w:bookmarkEnd w:id="43"/>
    </w:p>
    <w:p>
      <w:pPr>
        <w:pStyle w:val="3"/>
        <w:tabs>
          <w:tab w:val="left" w:pos="8931"/>
        </w:tabs>
        <w:ind w:firstLine="420"/>
        <w:rPr>
          <w:lang w:val="en-US"/>
        </w:rPr>
      </w:pPr>
      <w:r>
        <w:rPr>
          <w:rFonts w:hint="eastAsia"/>
          <w:lang w:val="en-US"/>
        </w:rPr>
        <w:t>本项目为</w:t>
      </w:r>
      <w:bookmarkStart w:id="44" w:name="计算工况"/>
      <w:r>
        <w:rPr>
          <w:rFonts w:hint="eastAsia"/>
          <w:lang w:val="en-US"/>
        </w:rPr>
        <w:t>冬季</w:t>
      </w:r>
      <w:bookmarkEnd w:id="44"/>
      <w:r>
        <w:rPr>
          <w:rFonts w:hint="eastAsia"/>
          <w:lang w:val="en-US"/>
        </w:rPr>
        <w:t>工况，采用</w:t>
      </w:r>
      <w:bookmarkStart w:id="45" w:name="暖通空调形式"/>
      <w:r>
        <w:rPr>
          <w:rFonts w:hint="eastAsia"/>
          <w:lang w:val="en-US"/>
        </w:rPr>
        <w:t>地暖/辐射板采暖/散热器采暖</w:t>
      </w:r>
      <w:bookmarkEnd w:id="45"/>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46"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47" w:name="温度"/>
            <w:r>
              <w:t>20.00</w:t>
            </w:r>
            <w:bookmarkEnd w:id="47"/>
          </w:p>
        </w:tc>
        <w:tc>
          <w:tcPr>
            <w:tcW w:w="1134" w:type="dxa"/>
          </w:tcPr>
          <w:p>
            <w:pPr>
              <w:pStyle w:val="3"/>
              <w:ind w:firstLine="0" w:firstLineChars="0"/>
              <w:jc w:val="center"/>
            </w:pPr>
            <w:bookmarkStart w:id="48" w:name="风速"/>
            <w:r>
              <w:rPr>
                <w:rFonts w:hint="eastAsia"/>
              </w:rPr>
              <w:t>0.10</w:t>
            </w:r>
            <w:bookmarkEnd w:id="48"/>
          </w:p>
        </w:tc>
        <w:tc>
          <w:tcPr>
            <w:tcW w:w="1134" w:type="dxa"/>
          </w:tcPr>
          <w:p>
            <w:pPr>
              <w:pStyle w:val="3"/>
              <w:ind w:left="-733" w:leftChars="-349" w:firstLine="942" w:firstLineChars="449"/>
              <w:jc w:val="center"/>
            </w:pPr>
            <w:bookmarkStart w:id="49" w:name="相对湿度"/>
            <w:r>
              <w:rPr>
                <w:rFonts w:hint="eastAsia"/>
              </w:rPr>
              <w:t>40.0</w:t>
            </w:r>
            <w:bookmarkEnd w:id="49"/>
          </w:p>
        </w:tc>
        <w:tc>
          <w:tcPr>
            <w:tcW w:w="1843" w:type="dxa"/>
          </w:tcPr>
          <w:p>
            <w:pPr>
              <w:pStyle w:val="3"/>
              <w:ind w:firstLine="0" w:firstLineChars="0"/>
              <w:jc w:val="center"/>
            </w:pPr>
            <w:bookmarkStart w:id="50" w:name="平均辐射温度"/>
            <w:r>
              <w:t>20.00</w:t>
            </w:r>
            <w:bookmarkEnd w:id="50"/>
          </w:p>
        </w:tc>
        <w:tc>
          <w:tcPr>
            <w:tcW w:w="1525" w:type="dxa"/>
          </w:tcPr>
          <w:p>
            <w:pPr>
              <w:pStyle w:val="3"/>
              <w:ind w:firstLine="0" w:firstLineChars="0"/>
              <w:jc w:val="center"/>
            </w:pPr>
            <w:bookmarkStart w:id="51" w:name="人体代谢"/>
            <w:r>
              <w:rPr>
                <w:rFonts w:hint="eastAsia"/>
              </w:rPr>
              <w:t>1.20</w:t>
            </w:r>
            <w:bookmarkEnd w:id="51"/>
          </w:p>
        </w:tc>
        <w:tc>
          <w:tcPr>
            <w:tcW w:w="1452" w:type="dxa"/>
          </w:tcPr>
          <w:p>
            <w:pPr>
              <w:pStyle w:val="3"/>
              <w:ind w:firstLine="0" w:firstLineChars="0"/>
              <w:jc w:val="center"/>
            </w:pPr>
            <w:bookmarkStart w:id="52" w:name="对外做功"/>
            <w:r>
              <w:rPr>
                <w:rFonts w:hint="eastAsia"/>
              </w:rPr>
              <w:t>0.00</w:t>
            </w:r>
            <w:bookmarkEnd w:id="52"/>
          </w:p>
        </w:tc>
        <w:tc>
          <w:tcPr>
            <w:tcW w:w="1701" w:type="dxa"/>
          </w:tcPr>
          <w:p>
            <w:pPr>
              <w:pStyle w:val="3"/>
              <w:ind w:firstLine="0" w:firstLineChars="0"/>
              <w:jc w:val="center"/>
            </w:pPr>
            <w:bookmarkStart w:id="53" w:name="服装热阻"/>
            <w:r>
              <w:rPr>
                <w:rFonts w:hint="eastAsia"/>
              </w:rPr>
              <w:t>1.20</w:t>
            </w:r>
            <w:bookmarkEnd w:id="53"/>
          </w:p>
        </w:tc>
      </w:tr>
      <w:bookmarkEnd w:id="46"/>
    </w:tbl>
    <w:p>
      <w:pPr>
        <w:pStyle w:val="3"/>
        <w:ind w:firstLine="0" w:firstLineChars="0"/>
      </w:pPr>
    </w:p>
    <w:p>
      <w:pPr>
        <w:pStyle w:val="2"/>
      </w:pPr>
      <w:bookmarkStart w:id="54" w:name="_Toc6202"/>
      <w:r>
        <w:rPr>
          <w:rFonts w:hint="eastAsia"/>
        </w:rPr>
        <w:t>计算结果</w:t>
      </w:r>
      <w:bookmarkEnd w:id="54"/>
    </w:p>
    <w:p>
      <w:pPr>
        <w:pStyle w:val="4"/>
      </w:pPr>
      <w:bookmarkStart w:id="55" w:name="_Toc16988"/>
      <w:r>
        <w:rPr>
          <w:rFonts w:hint="eastAsia"/>
        </w:rPr>
        <w:t>PMV-PPD指标</w:t>
      </w:r>
      <w:bookmarkEnd w:id="55"/>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56" w:name="达标统计表"/>
      <w:bookmarkEnd w:id="56"/>
      <w:bookmarkStart w:id="57" w:name="_Toc4116"/>
      <w:r>
        <w:rPr>
          <w:rFonts w:hint="eastAsia"/>
        </w:rPr>
        <w:t>达标情况</w:t>
      </w:r>
      <w:bookmarkEnd w:id="57"/>
    </w:p>
    <w:p>
      <w:pPr>
        <w:pStyle w:val="3"/>
        <w:ind w:left="143" w:leftChars="68" w:firstLine="420"/>
        <w:rPr>
          <w:lang w:val="en-US"/>
        </w:rPr>
      </w:pPr>
      <w:r>
        <w:rPr>
          <w:rFonts w:hint="eastAsia"/>
          <w:lang w:val="en-US"/>
        </w:rPr>
        <w:t>本项目结合前述计算参数对所有参评房间进行了PMV-PPD计算， PMV为</w:t>
      </w:r>
      <w:bookmarkStart w:id="58" w:name="PMV"/>
      <w:r>
        <w:rPr>
          <w:rFonts w:hint="eastAsia"/>
          <w:lang w:val="en-US"/>
        </w:rPr>
        <w:t>-0.16</w:t>
      </w:r>
      <w:bookmarkEnd w:id="58"/>
      <w:r>
        <w:rPr>
          <w:rFonts w:hint="eastAsia"/>
          <w:lang w:val="en-US"/>
        </w:rPr>
        <w:t>，PPD为</w:t>
      </w:r>
      <w:bookmarkStart w:id="59" w:name="PPD"/>
      <w:r>
        <w:rPr>
          <w:rFonts w:hint="eastAsia"/>
          <w:lang w:val="en-US"/>
        </w:rPr>
        <w:t>5.47</w:t>
      </w:r>
      <w:bookmarkEnd w:id="59"/>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60" w:name="_Toc44662482"/>
      <w:bookmarkStart w:id="61" w:name="_Toc18366"/>
      <w:r>
        <w:rPr>
          <w:rFonts w:hint="eastAsia"/>
        </w:rPr>
        <w:t>结论</w:t>
      </w:r>
      <w:bookmarkEnd w:id="60"/>
      <w:bookmarkEnd w:id="61"/>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2" w:name="达标百分比"/>
      <w:r>
        <w:rPr>
          <w:rFonts w:hint="eastAsia"/>
          <w:lang w:val="en-US"/>
        </w:rPr>
        <w:t>100.00%</w:t>
      </w:r>
      <w:bookmarkEnd w:id="62"/>
      <w:r>
        <w:rPr>
          <w:rFonts w:hint="eastAsia"/>
          <w:lang w:val="en-US"/>
        </w:rPr>
        <w:t>，根据绿标5.2.9，应得</w:t>
      </w:r>
      <w:bookmarkStart w:id="63" w:name="得分"/>
      <w:r>
        <w:rPr>
          <w:rFonts w:hint="eastAsia"/>
          <w:lang w:val="en-US"/>
        </w:rPr>
        <w:t>8</w:t>
      </w:r>
      <w:bookmarkEnd w:id="63"/>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OGU5YjBkM2VhZTI5ODRlZDJiNmFiZmE5NTRiZjYifQ=="/>
  </w:docVars>
  <w:rsids>
    <w:rsidRoot w:val="0A771158"/>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0A771158"/>
    <w:rsid w:val="624A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2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tmp7.dotx</Template>
  <Pages>8</Pages>
  <Words>1723</Words>
  <Characters>2223</Characters>
  <Lines>23</Lines>
  <Paragraphs>6</Paragraphs>
  <TotalTime>0</TotalTime>
  <ScaleCrop>false</ScaleCrop>
  <LinksUpToDate>false</LinksUpToDate>
  <CharactersWithSpaces>2347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2025-03-02T09:26:00Z</dcterms:created>
  <dc:creator>企业用户_794787227</dc:creator>
  <cp:lastModifiedBy>企业用户_794787227</cp:lastModifiedBy>
  <dcterms:modified xsi:type="dcterms:W3CDTF">2025-03-13T13:32:35Z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E837F512BE874F97B7A9AD537E792CED_11</vt:lpwstr>
  </property>
  <property fmtid="{D5CDD505-2E9C-101B-9397-08002B2CF9AE}" pid="3" name="KSOProductBuildVer">
    <vt:lpwstr>2052-12.1.0.16120</vt:lpwstr>
  </property>
</Properties>
</file>