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rPr>
          <w:rFonts w:ascii="黑体" w:hAnsi="宋体" w:eastAsia="黑体"/>
          <w:b/>
          <w:bCs/>
          <w:sz w:val="72"/>
          <w:szCs w:val="72"/>
        </w:rPr>
      </w:pPr>
      <w:bookmarkStart w:id="101" w:name="_GoBack"/>
      <w:bookmarkEnd w:id="101"/>
    </w:p>
    <w:p>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pPr>
              <w:pStyle w:val="3"/>
            </w:pPr>
            <w:r>
              <w:rPr>
                <w:rFonts w:hint="eastAsia"/>
              </w:rPr>
              <w:t>工程名称</w:t>
            </w:r>
          </w:p>
        </w:tc>
        <w:tc>
          <w:tcPr>
            <w:tcW w:w="3780" w:type="dxa"/>
            <w:vAlign w:val="center"/>
          </w:tcPr>
          <w:p>
            <w:pPr>
              <w:pStyle w:val="3"/>
              <w:jc w:val="center"/>
            </w:pPr>
            <w:bookmarkStart w:id="0" w:name="工程名称"/>
            <w:r>
              <w:t>云栖绿廊</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设计编号</w:t>
            </w:r>
          </w:p>
        </w:tc>
        <w:tc>
          <w:tcPr>
            <w:tcW w:w="3780" w:type="dxa"/>
            <w:vAlign w:val="center"/>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建设单位</w:t>
            </w:r>
          </w:p>
        </w:tc>
        <w:tc>
          <w:tcPr>
            <w:tcW w:w="3780" w:type="dxa"/>
            <w:vAlign w:val="center"/>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设计单位</w:t>
            </w:r>
          </w:p>
        </w:tc>
        <w:tc>
          <w:tcPr>
            <w:tcW w:w="3780" w:type="dxa"/>
            <w:vAlign w:val="center"/>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核 人</w:t>
            </w:r>
          </w:p>
        </w:tc>
        <w:tc>
          <w:tcPr>
            <w:tcW w:w="3780" w:type="dxa"/>
            <w:vAlign w:val="center"/>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定 人</w:t>
            </w:r>
          </w:p>
        </w:tc>
        <w:tc>
          <w:tcPr>
            <w:tcW w:w="3780" w:type="dxa"/>
            <w:vAlign w:val="center"/>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pPr>
              <w:pStyle w:val="3"/>
            </w:pPr>
            <w:r>
              <w:rPr>
                <w:rFonts w:hint="eastAsia"/>
              </w:rPr>
              <w:t>计算日期</w:t>
            </w:r>
          </w:p>
        </w:tc>
        <w:tc>
          <w:tcPr>
            <w:tcW w:w="3780" w:type="dxa"/>
            <w:vAlign w:val="center"/>
          </w:tcPr>
          <w:p>
            <w:pPr>
              <w:pStyle w:val="3"/>
              <w:jc w:val="center"/>
            </w:pPr>
            <w:bookmarkStart w:id="6" w:name="计算日期"/>
            <w:r>
              <w:t>2025年3月8日</w:t>
            </w:r>
            <w:bookmarkEnd w:id="6"/>
          </w:p>
        </w:tc>
      </w:tr>
    </w:tbl>
    <w:p>
      <w:pPr>
        <w:rPr>
          <w:rFonts w:ascii="黑体" w:hAnsi="黑体" w:eastAsia="黑体"/>
          <w:b/>
          <w:bCs/>
          <w:sz w:val="28"/>
          <w:szCs w:val="28"/>
        </w:rPr>
      </w:pPr>
    </w:p>
    <w:p>
      <w:pPr>
        <w:pStyle w:val="3"/>
        <w:jc w:val="center"/>
      </w:pPr>
      <w:bookmarkStart w:id="7" w:name="二维码"/>
      <w:bookmarkEnd w:id="7"/>
      <w:r>
        <w:drawing>
          <wp:inline distT="0" distB="0" distL="0" distR="0">
            <wp:extent cx="2171700" cy="21717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pPr>
    </w:p>
    <w:p>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3"/>
            </w:pPr>
            <w:r>
              <w:rPr>
                <w:rFonts w:hint="eastAsia"/>
              </w:rPr>
              <w:t>采用软件</w:t>
            </w:r>
          </w:p>
        </w:tc>
        <w:tc>
          <w:tcPr>
            <w:tcW w:w="3780" w:type="dxa"/>
          </w:tcPr>
          <w:p>
            <w:pPr>
              <w:pStyle w:val="3"/>
              <w:jc w:val="center"/>
            </w:pPr>
            <w:bookmarkStart w:id="8" w:name="采用软件"/>
            <w:r>
              <w:t>采光分析DALI2024</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软件版本</w:t>
            </w:r>
          </w:p>
        </w:tc>
        <w:tc>
          <w:tcPr>
            <w:tcW w:w="3780" w:type="dxa"/>
          </w:tcPr>
          <w:p>
            <w:pPr>
              <w:pStyle w:val="3"/>
              <w:jc w:val="center"/>
              <w:rPr>
                <w:szCs w:val="18"/>
              </w:rPr>
            </w:pPr>
            <w:bookmarkStart w:id="9" w:name="软件版本"/>
            <w:r>
              <w:rPr>
                <w:szCs w:val="18"/>
              </w:rPr>
              <w:t>20240430(SP1)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研发单位</w:t>
            </w:r>
          </w:p>
        </w:tc>
        <w:tc>
          <w:tcPr>
            <w:tcW w:w="3780" w:type="dxa"/>
          </w:tcPr>
          <w:p>
            <w:pPr>
              <w:pStyle w:val="3"/>
              <w:jc w:val="center"/>
              <w:rPr>
                <w:szCs w:val="18"/>
              </w:rPr>
            </w:pPr>
            <w:r>
              <w:rPr>
                <w:rFonts w:hint="eastAsia"/>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正版授权码</w:t>
            </w:r>
          </w:p>
        </w:tc>
        <w:tc>
          <w:tcPr>
            <w:tcW w:w="3780" w:type="dxa"/>
          </w:tcPr>
          <w:p>
            <w:pPr>
              <w:pStyle w:val="3"/>
              <w:jc w:val="center"/>
              <w:rPr>
                <w:szCs w:val="18"/>
              </w:rPr>
            </w:pPr>
            <w:bookmarkStart w:id="10" w:name="正版授权码"/>
            <w:r>
              <w:t>T19132052027</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pStyle w:val="3"/>
              <w:rPr>
                <w:szCs w:val="18"/>
              </w:rPr>
            </w:pPr>
            <w:r>
              <w:rPr>
                <w:rFonts w:hint="eastAsia"/>
                <w:szCs w:val="18"/>
              </w:rPr>
              <w:t>服务热线</w:t>
            </w:r>
          </w:p>
        </w:tc>
        <w:tc>
          <w:tcPr>
            <w:tcW w:w="3780" w:type="dxa"/>
          </w:tcPr>
          <w:p>
            <w:pPr>
              <w:pStyle w:val="3"/>
              <w:jc w:val="center"/>
              <w:rPr>
                <w:szCs w:val="18"/>
              </w:rPr>
            </w:pPr>
            <w:r>
              <w:rPr>
                <w:rFonts w:hint="eastAsia"/>
                <w:color w:val="000000"/>
                <w:shd w:val="clear" w:color="auto" w:fill="FFFFFF"/>
              </w:rPr>
              <w:t>400-094-1228</w:t>
            </w:r>
          </w:p>
        </w:tc>
      </w:tr>
    </w:tbl>
    <w:p>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jc w:val="center"/>
        <w:rPr>
          <w:sz w:val="28"/>
          <w:szCs w:val="28"/>
        </w:rPr>
      </w:pPr>
      <w:bookmarkStart w:id="11" w:name="目录"/>
      <w:r>
        <w:rPr>
          <w:rFonts w:hint="eastAsia"/>
          <w:sz w:val="28"/>
          <w:szCs w:val="28"/>
        </w:rPr>
        <w:t>目  录</w:t>
      </w:r>
    </w:p>
    <w:p>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_Toc26924 </w:instrText>
      </w:r>
      <w:r>
        <w:rPr>
          <w:szCs w:val="28"/>
        </w:rPr>
        <w:fldChar w:fldCharType="separate"/>
      </w:r>
      <w:r>
        <w:rPr>
          <w:rFonts w:hint="eastAsia"/>
        </w:rPr>
        <w:t>1. 建筑概况</w:t>
      </w:r>
      <w:r>
        <w:tab/>
      </w:r>
      <w:r>
        <w:fldChar w:fldCharType="begin"/>
      </w:r>
      <w:r>
        <w:instrText xml:space="preserve"> PAGEREF _Toc26924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_Toc14714 </w:instrText>
      </w:r>
      <w:r>
        <w:rPr>
          <w:szCs w:val="28"/>
        </w:rPr>
        <w:fldChar w:fldCharType="separate"/>
      </w:r>
      <w:r>
        <w:rPr>
          <w:rFonts w:hint="eastAsia"/>
        </w:rPr>
        <w:t>2. 计算</w:t>
      </w:r>
      <w:r>
        <w:t>目的</w:t>
      </w:r>
      <w:r>
        <w:tab/>
      </w:r>
      <w:r>
        <w:fldChar w:fldCharType="begin"/>
      </w:r>
      <w:r>
        <w:instrText xml:space="preserve"> PAGEREF _Toc14714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_Toc22256 </w:instrText>
      </w:r>
      <w:r>
        <w:rPr>
          <w:szCs w:val="28"/>
        </w:rPr>
        <w:fldChar w:fldCharType="separate"/>
      </w:r>
      <w:r>
        <w:rPr>
          <w:rFonts w:hint="eastAsia"/>
        </w:rPr>
        <w:t>3. 分析依据</w:t>
      </w:r>
      <w:r>
        <w:tab/>
      </w:r>
      <w:r>
        <w:fldChar w:fldCharType="begin"/>
      </w:r>
      <w:r>
        <w:instrText xml:space="preserve"> PAGEREF _Toc22256 \h </w:instrText>
      </w:r>
      <w:r>
        <w:fldChar w:fldCharType="separate"/>
      </w:r>
      <w:r>
        <w:t>3</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_Toc28759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_Toc28759 \h </w:instrText>
      </w:r>
      <w:r>
        <w:fldChar w:fldCharType="separate"/>
      </w:r>
      <w:r>
        <w:t>3</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_Toc14329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_Toc14329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_Toc10753 </w:instrText>
      </w:r>
      <w:r>
        <w:rPr>
          <w:szCs w:val="28"/>
        </w:rPr>
        <w:fldChar w:fldCharType="separate"/>
      </w:r>
      <w:r>
        <w:rPr>
          <w:rFonts w:hint="eastAsia"/>
        </w:rPr>
        <w:t>4. 动态采光</w:t>
      </w:r>
      <w:r>
        <w:t>概述</w:t>
      </w:r>
      <w:r>
        <w:tab/>
      </w:r>
      <w:r>
        <w:fldChar w:fldCharType="begin"/>
      </w:r>
      <w:r>
        <w:instrText xml:space="preserve"> PAGEREF _Toc10753 \h </w:instrText>
      </w:r>
      <w:r>
        <w:fldChar w:fldCharType="separate"/>
      </w:r>
      <w:r>
        <w:t>5</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_Toc11218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_Toc11218 \h </w:instrText>
      </w:r>
      <w:r>
        <w:fldChar w:fldCharType="separate"/>
      </w:r>
      <w:r>
        <w:t>5</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_Toc18067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_Toc18067 \h </w:instrText>
      </w:r>
      <w:r>
        <w:fldChar w:fldCharType="separate"/>
      </w:r>
      <w:r>
        <w:t>5</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_Toc24035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_Toc24035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_Toc18603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_Toc18603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_Toc32734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_Toc32734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_Toc5775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_Toc5775 \h </w:instrText>
      </w:r>
      <w:r>
        <w:fldChar w:fldCharType="separate"/>
      </w:r>
      <w:r>
        <w:t>7</w:t>
      </w:r>
      <w:r>
        <w:fldChar w:fldCharType="end"/>
      </w:r>
      <w:r>
        <w:rPr>
          <w:szCs w:val="28"/>
        </w:rPr>
        <w:fldChar w:fldCharType="end"/>
      </w:r>
    </w:p>
    <w:p>
      <w:pPr>
        <w:pStyle w:val="15"/>
        <w:tabs>
          <w:tab w:val="right" w:leader="dot" w:pos="9070"/>
          <w:tab w:val="clear" w:pos="900"/>
          <w:tab w:val="clear" w:pos="1260"/>
          <w:tab w:val="clear" w:pos="9360"/>
        </w:tabs>
      </w:pPr>
      <w:r>
        <w:rPr>
          <w:szCs w:val="28"/>
        </w:rPr>
        <w:fldChar w:fldCharType="begin"/>
      </w:r>
      <w:r>
        <w:rPr>
          <w:szCs w:val="28"/>
        </w:rPr>
        <w:instrText xml:space="preserve"> HYPERLINK \l _Toc29896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_Toc29896 \h </w:instrText>
      </w:r>
      <w:r>
        <w:fldChar w:fldCharType="separate"/>
      </w:r>
      <w:r>
        <w:t>7</w:t>
      </w:r>
      <w:r>
        <w:fldChar w:fldCharType="end"/>
      </w:r>
      <w:r>
        <w:rPr>
          <w:szCs w:val="28"/>
        </w:rPr>
        <w:fldChar w:fldCharType="end"/>
      </w:r>
    </w:p>
    <w:p>
      <w:pPr>
        <w:pStyle w:val="15"/>
        <w:tabs>
          <w:tab w:val="right" w:leader="dot" w:pos="9070"/>
          <w:tab w:val="clear" w:pos="900"/>
          <w:tab w:val="clear" w:pos="1260"/>
          <w:tab w:val="clear" w:pos="9360"/>
        </w:tabs>
      </w:pPr>
      <w:r>
        <w:rPr>
          <w:szCs w:val="28"/>
        </w:rPr>
        <w:fldChar w:fldCharType="begin"/>
      </w:r>
      <w:r>
        <w:rPr>
          <w:szCs w:val="28"/>
        </w:rPr>
        <w:instrText xml:space="preserve"> HYPERLINK \l _Toc11690 </w:instrText>
      </w:r>
      <w:r>
        <w:rPr>
          <w:szCs w:val="28"/>
        </w:rPr>
        <w:fldChar w:fldCharType="separate"/>
      </w:r>
      <w:r>
        <w:rPr>
          <w:rFonts w:hint="eastAsia" w:ascii="微软雅黑" w:hAnsi="微软雅黑" w:eastAsia="微软雅黑"/>
          <w:szCs w:val="24"/>
          <w:lang w:val="en-GB"/>
        </w:rPr>
        <w:t xml:space="preserve">5.3.2 </w:t>
      </w:r>
      <w:r>
        <w:rPr>
          <w:rFonts w:hint="eastAsia"/>
        </w:rPr>
        <w:t>玻璃幕墙</w:t>
      </w:r>
      <w:r>
        <w:tab/>
      </w:r>
      <w:r>
        <w:fldChar w:fldCharType="begin"/>
      </w:r>
      <w:r>
        <w:instrText xml:space="preserve"> PAGEREF _Toc11690 \h </w:instrText>
      </w:r>
      <w:r>
        <w:fldChar w:fldCharType="separate"/>
      </w:r>
      <w:r>
        <w:t>7</w:t>
      </w:r>
      <w:r>
        <w:fldChar w:fldCharType="end"/>
      </w:r>
      <w:r>
        <w:rPr>
          <w:szCs w:val="28"/>
        </w:rPr>
        <w:fldChar w:fldCharType="end"/>
      </w:r>
    </w:p>
    <w:p>
      <w:pPr>
        <w:pStyle w:val="15"/>
        <w:tabs>
          <w:tab w:val="right" w:leader="dot" w:pos="9070"/>
          <w:tab w:val="clear" w:pos="900"/>
          <w:tab w:val="clear" w:pos="1260"/>
          <w:tab w:val="clear" w:pos="9360"/>
        </w:tabs>
      </w:pPr>
      <w:r>
        <w:rPr>
          <w:szCs w:val="28"/>
        </w:rPr>
        <w:fldChar w:fldCharType="begin"/>
      </w:r>
      <w:r>
        <w:rPr>
          <w:szCs w:val="28"/>
        </w:rPr>
        <w:instrText xml:space="preserve"> HYPERLINK \l _Toc6415 </w:instrText>
      </w:r>
      <w:r>
        <w:rPr>
          <w:szCs w:val="28"/>
        </w:rPr>
        <w:fldChar w:fldCharType="separate"/>
      </w:r>
      <w:r>
        <w:rPr>
          <w:rFonts w:hint="eastAsia" w:ascii="微软雅黑" w:hAnsi="微软雅黑" w:eastAsia="微软雅黑"/>
          <w:szCs w:val="24"/>
          <w:lang w:val="en-GB"/>
        </w:rPr>
        <w:t xml:space="preserve">5.3.3 </w:t>
      </w:r>
      <w:r>
        <w:rPr>
          <w:rFonts w:hint="eastAsia"/>
        </w:rPr>
        <w:t>天 窗</w:t>
      </w:r>
      <w:r>
        <w:tab/>
      </w:r>
      <w:r>
        <w:fldChar w:fldCharType="begin"/>
      </w:r>
      <w:r>
        <w:instrText xml:space="preserve"> PAGEREF _Toc6415 \h </w:instrText>
      </w:r>
      <w:r>
        <w:fldChar w:fldCharType="separate"/>
      </w:r>
      <w:r>
        <w:t>7</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_Toc8882 </w:instrText>
      </w:r>
      <w:r>
        <w:rPr>
          <w:szCs w:val="28"/>
        </w:rPr>
        <w:fldChar w:fldCharType="separate"/>
      </w:r>
      <w:r>
        <w:rPr>
          <w:rFonts w:hint="eastAsia"/>
        </w:rPr>
        <w:t>6. 动态采光达标统计</w:t>
      </w:r>
      <w:r>
        <w:tab/>
      </w:r>
      <w:r>
        <w:fldChar w:fldCharType="begin"/>
      </w:r>
      <w:r>
        <w:instrText xml:space="preserve"> PAGEREF _Toc8882 \h </w:instrText>
      </w:r>
      <w:r>
        <w:fldChar w:fldCharType="separate"/>
      </w:r>
      <w:r>
        <w:t>8</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_Toc14473 </w:instrText>
      </w:r>
      <w:r>
        <w:rPr>
          <w:szCs w:val="28"/>
        </w:rPr>
        <w:fldChar w:fldCharType="separate"/>
      </w:r>
      <w:r>
        <w:rPr>
          <w:rFonts w:hint="eastAsia"/>
        </w:rPr>
        <w:t>7. 动态采光统计图</w:t>
      </w:r>
      <w:r>
        <w:tab/>
      </w:r>
      <w:r>
        <w:fldChar w:fldCharType="begin"/>
      </w:r>
      <w:r>
        <w:instrText xml:space="preserve"> PAGEREF _Toc14473 \h </w:instrText>
      </w:r>
      <w:r>
        <w:fldChar w:fldCharType="separate"/>
      </w:r>
      <w:r>
        <w:t>8</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_Toc23601 </w:instrText>
      </w:r>
      <w:r>
        <w:rPr>
          <w:szCs w:val="28"/>
        </w:rPr>
        <w:fldChar w:fldCharType="separate"/>
      </w:r>
      <w:r>
        <w:rPr>
          <w:rFonts w:hint="eastAsia"/>
        </w:rPr>
        <w:t xml:space="preserve">8. </w:t>
      </w:r>
      <w:r>
        <w:t>动态采光彩图</w:t>
      </w:r>
      <w:r>
        <w:tab/>
      </w:r>
      <w:r>
        <w:fldChar w:fldCharType="begin"/>
      </w:r>
      <w:r>
        <w:instrText xml:space="preserve"> PAGEREF _Toc23601 \h </w:instrText>
      </w:r>
      <w:r>
        <w:fldChar w:fldCharType="separate"/>
      </w:r>
      <w:r>
        <w:t>10</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_Toc2398 </w:instrText>
      </w:r>
      <w:r>
        <w:rPr>
          <w:szCs w:val="28"/>
        </w:rPr>
        <w:fldChar w:fldCharType="separate"/>
      </w:r>
      <w:r>
        <w:rPr>
          <w:rFonts w:hint="eastAsia"/>
        </w:rPr>
        <w:t>9. 评价结论</w:t>
      </w:r>
      <w:r>
        <w:tab/>
      </w:r>
      <w:r>
        <w:fldChar w:fldCharType="begin"/>
      </w:r>
      <w:r>
        <w:instrText xml:space="preserve"> PAGEREF _Toc2398 \h </w:instrText>
      </w:r>
      <w:r>
        <w:fldChar w:fldCharType="separate"/>
      </w:r>
      <w:r>
        <w:t>11</w:t>
      </w:r>
      <w:r>
        <w:fldChar w:fldCharType="end"/>
      </w:r>
      <w:r>
        <w:rPr>
          <w:szCs w:val="28"/>
        </w:rPr>
        <w:fldChar w:fldCharType="end"/>
      </w:r>
    </w:p>
    <w:p>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pPr>
        <w:pStyle w:val="2"/>
        <w:ind w:left="432" w:hanging="432"/>
      </w:pPr>
      <w:r>
        <w:rPr>
          <w:szCs w:val="21"/>
        </w:rPr>
        <w:tab/>
      </w:r>
      <w:bookmarkStart w:id="12" w:name="_Toc512608176"/>
      <w:bookmarkStart w:id="13" w:name="_Toc26924"/>
      <w:r>
        <w:rPr>
          <w:rFonts w:hint="eastAsia"/>
        </w:rPr>
        <w:t>建筑概况</w:t>
      </w:r>
      <w:bookmarkEnd w:id="12"/>
      <w:bookmarkEnd w:id="13"/>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lang w:val="en-US"/>
              </w:rPr>
              <w:t>项目所在地</w:t>
            </w:r>
          </w:p>
        </w:tc>
        <w:tc>
          <w:tcPr>
            <w:tcW w:w="6447" w:type="dxa"/>
            <w:gridSpan w:val="3"/>
          </w:tcPr>
          <w:p>
            <w:pPr>
              <w:pStyle w:val="3"/>
              <w:rPr>
                <w:lang w:val="en-US"/>
              </w:rPr>
            </w:pPr>
            <w:bookmarkStart w:id="14" w:name="项目地点"/>
            <w:r>
              <w:t>重庆</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光气候分区</w:t>
            </w:r>
          </w:p>
        </w:tc>
        <w:tc>
          <w:tcPr>
            <w:tcW w:w="2624" w:type="dxa"/>
          </w:tcPr>
          <w:p>
            <w:pPr>
              <w:pStyle w:val="3"/>
              <w:rPr>
                <w:lang w:val="en-US"/>
              </w:rPr>
            </w:pPr>
            <w:bookmarkStart w:id="15" w:name="光气候分区"/>
            <w:r>
              <w:t>III</w:t>
            </w:r>
            <w:bookmarkEnd w:id="15"/>
          </w:p>
        </w:tc>
        <w:tc>
          <w:tcPr>
            <w:tcW w:w="1757" w:type="dxa"/>
            <w:shd w:val="clear" w:color="auto" w:fill="E0E0E0"/>
          </w:tcPr>
          <w:p>
            <w:pPr>
              <w:pStyle w:val="3"/>
              <w:rPr>
                <w:lang w:val="en-US"/>
              </w:rPr>
            </w:pPr>
            <w:r>
              <w:rPr>
                <w:rFonts w:hint="eastAsia"/>
                <w:lang w:val="en-US"/>
              </w:rPr>
              <w:t>光气候系数K</w:t>
            </w:r>
          </w:p>
        </w:tc>
        <w:tc>
          <w:tcPr>
            <w:tcW w:w="2066" w:type="dxa"/>
          </w:tcPr>
          <w:p>
            <w:pPr>
              <w:pStyle w:val="3"/>
              <w:rPr>
                <w:lang w:val="en-US"/>
              </w:rPr>
            </w:pPr>
            <w:bookmarkStart w:id="16" w:name="光气候系数K"/>
            <w:r>
              <w:t>1.00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建筑面积</w:t>
            </w:r>
          </w:p>
        </w:tc>
        <w:tc>
          <w:tcPr>
            <w:tcW w:w="6447" w:type="dxa"/>
            <w:gridSpan w:val="3"/>
          </w:tcPr>
          <w:p>
            <w:pPr>
              <w:pStyle w:val="3"/>
              <w:rPr>
                <w:lang w:val="en-US"/>
              </w:rPr>
            </w:pPr>
            <w:r>
              <w:rPr>
                <w:rFonts w:hint="eastAsia"/>
                <w:lang w:val="en-US"/>
              </w:rPr>
              <w:t xml:space="preserve">地上  </w:t>
            </w:r>
            <w:bookmarkStart w:id="17" w:name="地上建筑面积"/>
            <w:r>
              <w:t>3291.46</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建筑层数</w:t>
            </w:r>
          </w:p>
        </w:tc>
        <w:tc>
          <w:tcPr>
            <w:tcW w:w="6447" w:type="dxa"/>
            <w:gridSpan w:val="3"/>
          </w:tcPr>
          <w:p>
            <w:pPr>
              <w:pStyle w:val="3"/>
              <w:rPr>
                <w:lang w:val="en-US"/>
              </w:rPr>
            </w:pPr>
            <w:r>
              <w:rPr>
                <w:rFonts w:hint="eastAsia"/>
                <w:lang w:val="en-US"/>
              </w:rPr>
              <w:t xml:space="preserve">地上  </w:t>
            </w:r>
            <w:bookmarkStart w:id="19" w:name="地上建筑层数"/>
            <w:r>
              <w:t>2</w:t>
            </w:r>
            <w:bookmarkEnd w:id="19"/>
            <w:r>
              <w:rPr>
                <w:rFonts w:hint="eastAsia"/>
                <w:lang w:val="en-US"/>
              </w:rPr>
              <w:t xml:space="preserve">          地下 </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建筑高度</w:t>
            </w:r>
          </w:p>
        </w:tc>
        <w:tc>
          <w:tcPr>
            <w:tcW w:w="6447" w:type="dxa"/>
            <w:gridSpan w:val="3"/>
          </w:tcPr>
          <w:p>
            <w:pPr>
              <w:pStyle w:val="3"/>
              <w:rPr>
                <w:lang w:val="en-US"/>
              </w:rPr>
            </w:pPr>
            <w:r>
              <w:rPr>
                <w:rFonts w:hint="eastAsia"/>
                <w:lang w:val="en-US"/>
              </w:rPr>
              <w:t xml:space="preserve">地上 </w:t>
            </w:r>
            <w:bookmarkStart w:id="21" w:name="地上建筑高度"/>
            <w:r>
              <w:t>7.00</w:t>
            </w:r>
            <w:bookmarkEnd w:id="21"/>
            <w:r>
              <w:rPr>
                <w:rFonts w:hint="eastAsia"/>
                <w:lang w:val="en-US"/>
              </w:rPr>
              <w:t xml:space="preserve"> m     地下  </w:t>
            </w:r>
            <w:bookmarkStart w:id="22" w:name="地下建筑高度"/>
            <w:r>
              <w:t>0.00</w:t>
            </w:r>
            <w:bookmarkEnd w:id="22"/>
            <w:r>
              <w:rPr>
                <w:rFonts w:hint="eastAsia"/>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rPr>
              <w:t>备注</w:t>
            </w:r>
          </w:p>
        </w:tc>
        <w:tc>
          <w:tcPr>
            <w:tcW w:w="6447" w:type="dxa"/>
            <w:gridSpan w:val="3"/>
          </w:tcPr>
          <w:p>
            <w:pPr>
              <w:pStyle w:val="3"/>
              <w:rPr>
                <w:lang w:val="en-US"/>
              </w:rPr>
            </w:pPr>
            <w:bookmarkStart w:id="23" w:name="备注"/>
            <w:bookmarkEnd w:id="23"/>
          </w:p>
        </w:tc>
      </w:tr>
    </w:tbl>
    <w:p>
      <w:pPr>
        <w:pStyle w:val="3"/>
        <w:jc w:val="center"/>
        <w:rPr>
          <w:lang w:val="en-US"/>
        </w:rPr>
      </w:pPr>
    </w:p>
    <w:p>
      <w:pPr>
        <w:pStyle w:val="2"/>
        <w:ind w:left="432" w:hanging="432"/>
      </w:pPr>
      <w:bookmarkStart w:id="24" w:name="_Toc512608178"/>
      <w:bookmarkStart w:id="25" w:name="_Toc14714"/>
      <w:r>
        <w:rPr>
          <w:rFonts w:hint="eastAsia"/>
        </w:rPr>
        <w:t>计算</w:t>
      </w:r>
      <w:r>
        <w:t>目的</w:t>
      </w:r>
      <w:bookmarkEnd w:id="24"/>
      <w:bookmarkEnd w:id="25"/>
    </w:p>
    <w:p>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pPr>
        <w:pStyle w:val="2"/>
        <w:ind w:left="432" w:hanging="432"/>
      </w:pPr>
      <w:bookmarkStart w:id="26" w:name="_Toc512608177"/>
      <w:bookmarkStart w:id="27" w:name="_Toc22256"/>
      <w:r>
        <w:rPr>
          <w:rFonts w:hint="eastAsia"/>
        </w:rPr>
        <w:t>分析依据</w:t>
      </w:r>
      <w:bookmarkEnd w:id="26"/>
      <w:bookmarkEnd w:id="27"/>
    </w:p>
    <w:p>
      <w:pPr>
        <w:pStyle w:val="4"/>
      </w:pPr>
      <w:bookmarkStart w:id="28" w:name="_Toc28759"/>
      <w:r>
        <w:rPr>
          <w:rFonts w:hint="eastAsia"/>
        </w:rPr>
        <w:t>标准依据</w:t>
      </w:r>
      <w:bookmarkEnd w:id="28"/>
    </w:p>
    <w:p>
      <w:pPr>
        <w:pStyle w:val="3"/>
        <w:numPr>
          <w:ilvl w:val="0"/>
          <w:numId w:val="2"/>
        </w:numPr>
        <w:rPr>
          <w:lang w:val="en-US"/>
        </w:rPr>
      </w:pPr>
      <w:bookmarkStart w:id="29" w:name="标准名称"/>
      <w:bookmarkStart w:id="30" w:name="_Toc512608179"/>
      <w:r>
        <w:rPr>
          <w:lang w:val="en-US"/>
        </w:rPr>
        <w:t>《绿色建筑评价标准》GB/T 50378-2019</w:t>
      </w:r>
      <w:bookmarkEnd w:id="29"/>
    </w:p>
    <w:p>
      <w:pPr>
        <w:pStyle w:val="3"/>
        <w:numPr>
          <w:ilvl w:val="0"/>
          <w:numId w:val="2"/>
        </w:numPr>
        <w:rPr>
          <w:lang w:val="en-US"/>
        </w:rPr>
      </w:pPr>
      <w:r>
        <w:rPr>
          <w:lang w:val="en-US"/>
        </w:rPr>
        <w:t>《建筑采光设计标准》GB 50033-2013</w:t>
      </w:r>
    </w:p>
    <w:p>
      <w:pPr>
        <w:pStyle w:val="3"/>
        <w:numPr>
          <w:ilvl w:val="0"/>
          <w:numId w:val="2"/>
        </w:numPr>
        <w:rPr>
          <w:sz w:val="24"/>
          <w:lang w:val="en-US"/>
        </w:rPr>
      </w:pPr>
      <w:r>
        <w:rPr>
          <w:rFonts w:hint="eastAsia"/>
          <w:sz w:val="24"/>
          <w:lang w:val="en-US"/>
        </w:rPr>
        <w:t>《</w:t>
      </w:r>
      <w:r>
        <w:rPr>
          <w:rFonts w:hint="eastAsia"/>
          <w:lang w:val="en-US"/>
        </w:rPr>
        <w:t>绿色建筑评价标准技术细则2019》</w:t>
      </w:r>
    </w:p>
    <w:p>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pPr>
        <w:pStyle w:val="3"/>
        <w:numPr>
          <w:ilvl w:val="0"/>
          <w:numId w:val="2"/>
        </w:numPr>
        <w:rPr>
          <w:lang w:val="en-US"/>
        </w:rPr>
      </w:pPr>
      <w:r>
        <w:rPr>
          <w:lang w:val="en-US"/>
        </w:rPr>
        <w:t>《采光测量方法》GB/T 5699-2017</w:t>
      </w:r>
    </w:p>
    <w:p>
      <w:pPr>
        <w:pStyle w:val="4"/>
      </w:pPr>
      <w:bookmarkStart w:id="31" w:name="_Toc14329"/>
      <w:r>
        <w:rPr>
          <w:rFonts w:hint="eastAsia"/>
        </w:rPr>
        <w:t>标准要求</w:t>
      </w:r>
      <w:bookmarkEnd w:id="30"/>
      <w:bookmarkEnd w:id="31"/>
    </w:p>
    <w:p>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2" w:name="标准名称1"/>
      <w:r>
        <w:rPr>
          <w:rFonts w:hint="eastAsia"/>
          <w:b/>
          <w:lang w:val="en-US"/>
        </w:rPr>
        <w:t>《绿色建筑评价标准》GB/T 50378-2019</w:t>
      </w:r>
      <w:bookmarkEnd w:id="32"/>
      <w:r>
        <w:rPr>
          <w:b/>
          <w:lang w:val="en-US"/>
        </w:rPr>
        <w:t xml:space="preserve">    </w:t>
      </w:r>
    </w:p>
    <w:p>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3" w:name="公建动态采光评价要求"/>
      <w:r>
        <w:rPr>
          <w:rFonts w:ascii="微软雅黑" w:hAnsi="微软雅黑" w:eastAsia="微软雅黑" w:cs="微软雅黑"/>
        </w:rPr>
        <w:t>4</w:t>
      </w:r>
      <w:bookmarkEnd w:id="33"/>
      <w:r>
        <w:rPr>
          <w:rFonts w:ascii="微软雅黑" w:hAnsi="微软雅黑" w:eastAsia="微软雅黑" w:cs="微软雅黑"/>
        </w:rPr>
        <w:t>h/d，得</w:t>
      </w:r>
      <w:bookmarkStart w:id="34" w:name="公建动态采光评价分值"/>
      <w:r>
        <w:rPr>
          <w:rFonts w:ascii="微软雅黑" w:hAnsi="微软雅黑" w:eastAsia="微软雅黑" w:cs="微软雅黑"/>
        </w:rPr>
        <w:t>3</w:t>
      </w:r>
      <w:bookmarkEnd w:id="34"/>
      <w:r>
        <w:rPr>
          <w:rFonts w:ascii="微软雅黑" w:hAnsi="微软雅黑" w:eastAsia="微软雅黑" w:cs="微软雅黑"/>
        </w:rPr>
        <w:t>分。</w:t>
      </w:r>
    </w:p>
    <w:p>
      <w:pPr>
        <w:pStyle w:val="3"/>
        <w:ind w:left="420" w:leftChars="200"/>
      </w:pPr>
    </w:p>
    <w:p>
      <w:pPr>
        <w:pStyle w:val="3"/>
        <w:ind w:left="420" w:leftChars="200"/>
        <w:rPr>
          <w:bCs/>
          <w:color w:val="000000" w:themeColor="text1"/>
          <w:lang w:val="en-US"/>
          <w14:textFill>
            <w14:solidFill>
              <w14:schemeClr w14:val="tx1"/>
            </w14:solidFill>
          </w14:textFill>
        </w:rPr>
      </w:pPr>
    </w:p>
    <w:p>
      <w:pPr>
        <w:pStyle w:val="3"/>
        <w:ind w:left="420" w:leftChars="200"/>
        <w:rPr>
          <w:bCs/>
        </w:rPr>
      </w:pPr>
    </w:p>
    <w:p>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5" w:name="建筑类型"/>
      <w:r>
        <w:rPr>
          <w:rFonts w:hint="eastAsia"/>
        </w:rPr>
        <w:t>展览建筑、办公建筑、观演建筑、学校建筑</w:t>
      </w:r>
      <w:bookmarkEnd w:id="35"/>
      <w:r>
        <w:rPr>
          <w:rFonts w:hint="eastAsia"/>
        </w:rPr>
        <w:t>，</w:t>
      </w:r>
      <w:r>
        <w:t>根据</w:t>
      </w:r>
      <w:r>
        <w:rPr>
          <w:rFonts w:hint="eastAsia"/>
        </w:rPr>
        <w:t>标准要求的采光照度值根据对应</w:t>
      </w:r>
      <w:r>
        <w:t>房间类型</w:t>
      </w:r>
      <w:r>
        <w:rPr>
          <w:rFonts w:hint="eastAsia"/>
        </w:rPr>
        <w:t>确定。</w:t>
      </w:r>
    </w:p>
    <w:p>
      <w:pPr>
        <w:ind w:firstLine="420"/>
        <w:jc w:val="left"/>
        <w:rPr>
          <w:rFonts w:ascii="微软雅黑" w:hAnsi="微软雅黑" w:eastAsia="微软雅黑"/>
        </w:rPr>
      </w:pPr>
      <w:bookmarkStart w:id="36" w:name="条文描述_办公建筑"/>
      <w:r>
        <w:rPr>
          <w:rFonts w:hint="eastAsia" w:ascii="微软雅黑" w:hAnsi="微软雅黑" w:eastAsia="微软雅黑"/>
        </w:rPr>
        <w:t>4.0.8  办公建筑的采光标准值不应低于表4.0.8的规定。</w:t>
      </w:r>
    </w:p>
    <w:p>
      <w:pPr>
        <w:pStyle w:val="18"/>
        <w:ind w:left="902" w:firstLine="0" w:firstLineChars="0"/>
        <w:jc w:val="center"/>
        <w:rPr>
          <w:szCs w:val="21"/>
        </w:rPr>
      </w:pPr>
      <w:r>
        <w:rPr>
          <w:rFonts w:hint="eastAsia"/>
          <w:szCs w:val="21"/>
        </w:rPr>
        <w:t>表4.0.8  办公建筑的采光标准值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pPr>
              <w:widowControl w:val="0"/>
              <w:jc w:val="center"/>
              <w:rPr>
                <w:szCs w:val="18"/>
              </w:rPr>
            </w:pPr>
            <w:r>
              <w:rPr>
                <w:rFonts w:hint="eastAsia"/>
                <w:szCs w:val="18"/>
              </w:rPr>
              <w:t>采光等级</w:t>
            </w:r>
          </w:p>
        </w:tc>
        <w:tc>
          <w:tcPr>
            <w:tcW w:w="2552" w:type="dxa"/>
            <w:vMerge w:val="restart"/>
            <w:vAlign w:val="center"/>
          </w:tcPr>
          <w:p>
            <w:pPr>
              <w:widowControl w:val="0"/>
              <w:jc w:val="center"/>
              <w:rPr>
                <w:szCs w:val="18"/>
              </w:rPr>
            </w:pPr>
            <w:r>
              <w:rPr>
                <w:rFonts w:hint="eastAsia"/>
                <w:szCs w:val="18"/>
              </w:rPr>
              <w:t>场所名称</w:t>
            </w:r>
          </w:p>
        </w:tc>
        <w:tc>
          <w:tcPr>
            <w:tcW w:w="5393" w:type="dxa"/>
            <w:gridSpan w:val="2"/>
            <w:vAlign w:val="center"/>
          </w:tcPr>
          <w:p>
            <w:pPr>
              <w:widowControl w:val="0"/>
              <w:jc w:val="center"/>
              <w:rPr>
                <w:szCs w:val="18"/>
              </w:rPr>
            </w:pPr>
            <w:r>
              <w:rPr>
                <w:rFonts w:hint="eastAsia"/>
                <w:szCs w:val="18"/>
              </w:rPr>
              <w:t>侧面采光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pPr>
              <w:widowControl w:val="0"/>
              <w:jc w:val="center"/>
              <w:rPr>
                <w:szCs w:val="18"/>
              </w:rPr>
            </w:pPr>
          </w:p>
        </w:tc>
        <w:tc>
          <w:tcPr>
            <w:tcW w:w="2552" w:type="dxa"/>
            <w:vMerge w:val="continue"/>
            <w:vAlign w:val="center"/>
          </w:tcPr>
          <w:p>
            <w:pPr>
              <w:widowControl w:val="0"/>
              <w:jc w:val="center"/>
              <w:rPr>
                <w:szCs w:val="18"/>
              </w:rPr>
            </w:pPr>
          </w:p>
        </w:tc>
        <w:tc>
          <w:tcPr>
            <w:tcW w:w="2409" w:type="dxa"/>
            <w:vAlign w:val="center"/>
          </w:tcPr>
          <w:p>
            <w:pPr>
              <w:widowControl w:val="0"/>
              <w:jc w:val="center"/>
              <w:rPr>
                <w:szCs w:val="18"/>
              </w:rPr>
            </w:pPr>
            <w:r>
              <w:rPr>
                <w:szCs w:val="18"/>
              </w:rPr>
              <w:t>采光系数标准值（%）</w:t>
            </w:r>
          </w:p>
        </w:tc>
        <w:tc>
          <w:tcPr>
            <w:tcW w:w="2984" w:type="dxa"/>
            <w:vAlign w:val="center"/>
          </w:tcPr>
          <w:p>
            <w:pPr>
              <w:widowControl w:val="0"/>
              <w:jc w:val="center"/>
              <w:rPr>
                <w:szCs w:val="18"/>
              </w:rPr>
            </w:pPr>
            <w:r>
              <w:rPr>
                <w:szCs w:val="18"/>
              </w:rPr>
              <w:t>室</w:t>
            </w:r>
            <w:r>
              <w:rPr>
                <w:rFonts w:hint="eastAsia"/>
                <w:szCs w:val="18"/>
              </w:rPr>
              <w:t>内</w:t>
            </w:r>
            <w:r>
              <w:rPr>
                <w:szCs w:val="18"/>
              </w:rPr>
              <w:t>天然光照度标准值（lx）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jc w:val="center"/>
              <w:rPr>
                <w:szCs w:val="18"/>
              </w:rPr>
            </w:pPr>
            <w:r>
              <w:rPr>
                <w:rFonts w:hint="eastAsia"/>
                <w:szCs w:val="18"/>
              </w:rPr>
              <w:t>Ⅱ</w:t>
            </w:r>
          </w:p>
        </w:tc>
        <w:tc>
          <w:tcPr>
            <w:tcW w:w="2552" w:type="dxa"/>
            <w:vAlign w:val="center"/>
          </w:tcPr>
          <w:p>
            <w:pPr>
              <w:widowControl w:val="0"/>
              <w:jc w:val="center"/>
              <w:rPr>
                <w:szCs w:val="18"/>
              </w:rPr>
            </w:pPr>
            <w:r>
              <w:rPr>
                <w:rFonts w:hint="eastAsia"/>
                <w:szCs w:val="18"/>
              </w:rPr>
              <w:t>设计室、绘图室</w:t>
            </w:r>
          </w:p>
        </w:tc>
        <w:tc>
          <w:tcPr>
            <w:tcW w:w="2409" w:type="dxa"/>
            <w:vAlign w:val="center"/>
          </w:tcPr>
          <w:p>
            <w:pPr>
              <w:widowControl w:val="0"/>
              <w:jc w:val="center"/>
              <w:rPr>
                <w:szCs w:val="18"/>
              </w:rPr>
            </w:pPr>
            <w:r>
              <w:rPr>
                <w:szCs w:val="18"/>
              </w:rPr>
              <w:t>4.0</w:t>
            </w:r>
          </w:p>
        </w:tc>
        <w:tc>
          <w:tcPr>
            <w:tcW w:w="2984" w:type="dxa"/>
            <w:vAlign w:val="center"/>
          </w:tcPr>
          <w:p>
            <w:pPr>
              <w:widowControl w:val="0"/>
              <w:jc w:val="center"/>
              <w:rPr>
                <w:szCs w:val="18"/>
              </w:rPr>
            </w:pPr>
            <w:r>
              <w:rPr>
                <w:rFonts w:hint="eastAsia"/>
                <w:szCs w:val="18"/>
              </w:rPr>
              <w:t>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pPr>
              <w:widowControl w:val="0"/>
              <w:jc w:val="center"/>
              <w:rPr>
                <w:szCs w:val="18"/>
              </w:rPr>
            </w:pPr>
            <w:r>
              <w:rPr>
                <w:rFonts w:hint="eastAsia"/>
                <w:szCs w:val="18"/>
              </w:rPr>
              <w:t>Ⅲ</w:t>
            </w:r>
          </w:p>
        </w:tc>
        <w:tc>
          <w:tcPr>
            <w:tcW w:w="2552" w:type="dxa"/>
            <w:vAlign w:val="center"/>
          </w:tcPr>
          <w:p>
            <w:pPr>
              <w:widowControl w:val="0"/>
              <w:jc w:val="center"/>
              <w:rPr>
                <w:szCs w:val="18"/>
              </w:rPr>
            </w:pPr>
            <w:r>
              <w:rPr>
                <w:rFonts w:hint="eastAsia"/>
                <w:szCs w:val="18"/>
              </w:rPr>
              <w:t>办公室、会议室</w:t>
            </w:r>
          </w:p>
        </w:tc>
        <w:tc>
          <w:tcPr>
            <w:tcW w:w="2409" w:type="dxa"/>
            <w:vAlign w:val="center"/>
          </w:tcPr>
          <w:p>
            <w:pPr>
              <w:widowControl w:val="0"/>
              <w:jc w:val="center"/>
              <w:rPr>
                <w:szCs w:val="18"/>
              </w:rPr>
            </w:pPr>
            <w:r>
              <w:rPr>
                <w:szCs w:val="18"/>
              </w:rPr>
              <w:t>3.0</w:t>
            </w:r>
          </w:p>
        </w:tc>
        <w:tc>
          <w:tcPr>
            <w:tcW w:w="2984" w:type="dxa"/>
            <w:vAlign w:val="center"/>
          </w:tcPr>
          <w:p>
            <w:pPr>
              <w:widowControl w:val="0"/>
              <w:jc w:val="center"/>
              <w:rPr>
                <w:szCs w:val="18"/>
              </w:rPr>
            </w:pPr>
            <w:r>
              <w:rPr>
                <w:szCs w:val="18"/>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jc w:val="center"/>
              <w:rPr>
                <w:szCs w:val="18"/>
              </w:rPr>
            </w:pPr>
            <w:r>
              <w:rPr>
                <w:rFonts w:hint="eastAsia"/>
                <w:szCs w:val="18"/>
              </w:rPr>
              <w:t>Ⅳ</w:t>
            </w:r>
          </w:p>
        </w:tc>
        <w:tc>
          <w:tcPr>
            <w:tcW w:w="2552" w:type="dxa"/>
            <w:vAlign w:val="center"/>
          </w:tcPr>
          <w:p>
            <w:pPr>
              <w:widowControl w:val="0"/>
              <w:jc w:val="center"/>
              <w:rPr>
                <w:szCs w:val="18"/>
              </w:rPr>
            </w:pPr>
            <w:r>
              <w:rPr>
                <w:rFonts w:hint="eastAsia"/>
                <w:szCs w:val="18"/>
              </w:rPr>
              <w:t>复印室、档案室</w:t>
            </w:r>
          </w:p>
        </w:tc>
        <w:tc>
          <w:tcPr>
            <w:tcW w:w="2409" w:type="dxa"/>
            <w:vAlign w:val="center"/>
          </w:tcPr>
          <w:p>
            <w:pPr>
              <w:widowControl w:val="0"/>
              <w:jc w:val="center"/>
              <w:rPr>
                <w:szCs w:val="18"/>
              </w:rPr>
            </w:pPr>
            <w:r>
              <w:rPr>
                <w:szCs w:val="18"/>
              </w:rPr>
              <w:t>2.0</w:t>
            </w:r>
          </w:p>
        </w:tc>
        <w:tc>
          <w:tcPr>
            <w:tcW w:w="2984" w:type="dxa"/>
            <w:vAlign w:val="center"/>
          </w:tcPr>
          <w:p>
            <w:pPr>
              <w:widowControl w:val="0"/>
              <w:jc w:val="center"/>
              <w:rPr>
                <w:szCs w:val="18"/>
              </w:rPr>
            </w:pPr>
            <w:r>
              <w:rPr>
                <w:szCs w:val="18"/>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pPr>
              <w:widowControl w:val="0"/>
              <w:jc w:val="center"/>
              <w:rPr>
                <w:szCs w:val="18"/>
              </w:rPr>
            </w:pPr>
            <w:r>
              <w:rPr>
                <w:rFonts w:hint="eastAsia"/>
                <w:szCs w:val="18"/>
              </w:rPr>
              <w:t>Ⅴ</w:t>
            </w:r>
          </w:p>
        </w:tc>
        <w:tc>
          <w:tcPr>
            <w:tcW w:w="2552" w:type="dxa"/>
            <w:vAlign w:val="center"/>
          </w:tcPr>
          <w:p>
            <w:pPr>
              <w:widowControl w:val="0"/>
              <w:jc w:val="center"/>
              <w:rPr>
                <w:szCs w:val="18"/>
              </w:rPr>
            </w:pPr>
            <w:r>
              <w:rPr>
                <w:rFonts w:hint="eastAsia"/>
                <w:szCs w:val="18"/>
              </w:rPr>
              <w:t>走道、楼梯间、卫生间</w:t>
            </w:r>
          </w:p>
        </w:tc>
        <w:tc>
          <w:tcPr>
            <w:tcW w:w="2409" w:type="dxa"/>
            <w:vAlign w:val="center"/>
          </w:tcPr>
          <w:p>
            <w:pPr>
              <w:widowControl w:val="0"/>
              <w:jc w:val="center"/>
              <w:rPr>
                <w:szCs w:val="18"/>
              </w:rPr>
            </w:pPr>
            <w:r>
              <w:rPr>
                <w:szCs w:val="18"/>
              </w:rPr>
              <w:t>1.0</w:t>
            </w:r>
          </w:p>
        </w:tc>
        <w:tc>
          <w:tcPr>
            <w:tcW w:w="2984" w:type="dxa"/>
            <w:vAlign w:val="center"/>
          </w:tcPr>
          <w:p>
            <w:pPr>
              <w:widowControl w:val="0"/>
              <w:jc w:val="center"/>
              <w:rPr>
                <w:szCs w:val="18"/>
              </w:rPr>
            </w:pPr>
            <w:r>
              <w:rPr>
                <w:szCs w:val="18"/>
              </w:rPr>
              <w:t>150</w:t>
            </w:r>
          </w:p>
        </w:tc>
      </w:tr>
      <w:bookmarkEnd w:id="36"/>
    </w:tbl>
    <w:p>
      <w:pPr>
        <w:ind w:firstLine="420"/>
        <w:jc w:val="left"/>
        <w:rPr>
          <w:rFonts w:ascii="微软雅黑" w:hAnsi="微软雅黑" w:eastAsia="微软雅黑"/>
        </w:rPr>
      </w:pPr>
      <w:bookmarkStart w:id="37"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pPr>
        <w:pStyle w:val="18"/>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pPr>
              <w:widowControl w:val="0"/>
              <w:jc w:val="center"/>
              <w:rPr>
                <w:szCs w:val="21"/>
              </w:rPr>
            </w:pPr>
            <w:r>
              <w:rPr>
                <w:rFonts w:hint="eastAsia"/>
                <w:szCs w:val="21"/>
              </w:rPr>
              <w:t>采光等级</w:t>
            </w:r>
          </w:p>
        </w:tc>
        <w:tc>
          <w:tcPr>
            <w:tcW w:w="2552" w:type="dxa"/>
            <w:vMerge w:val="restart"/>
            <w:vAlign w:val="center"/>
          </w:tcPr>
          <w:p>
            <w:pPr>
              <w:widowControl w:val="0"/>
              <w:jc w:val="center"/>
              <w:rPr>
                <w:szCs w:val="21"/>
              </w:rPr>
            </w:pPr>
            <w:r>
              <w:rPr>
                <w:rFonts w:hint="eastAsia"/>
                <w:szCs w:val="21"/>
              </w:rPr>
              <w:t>场所名称</w:t>
            </w:r>
          </w:p>
        </w:tc>
        <w:tc>
          <w:tcPr>
            <w:tcW w:w="5386" w:type="dxa"/>
            <w:gridSpan w:val="2"/>
            <w:vAlign w:val="center"/>
          </w:tcPr>
          <w:p>
            <w:pPr>
              <w:widowControl w:val="0"/>
              <w:jc w:val="center"/>
              <w:rPr>
                <w:szCs w:val="21"/>
              </w:rPr>
            </w:pPr>
            <w:r>
              <w:rPr>
                <w:rFonts w:hint="eastAsia"/>
                <w:szCs w:val="21"/>
              </w:rPr>
              <w:t>侧面采光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pPr>
              <w:widowControl w:val="0"/>
              <w:jc w:val="center"/>
              <w:rPr>
                <w:szCs w:val="21"/>
              </w:rPr>
            </w:pPr>
          </w:p>
        </w:tc>
        <w:tc>
          <w:tcPr>
            <w:tcW w:w="2552" w:type="dxa"/>
            <w:vMerge w:val="continue"/>
            <w:vAlign w:val="center"/>
          </w:tcPr>
          <w:p>
            <w:pPr>
              <w:widowControl w:val="0"/>
              <w:jc w:val="center"/>
              <w:rPr>
                <w:szCs w:val="21"/>
              </w:rPr>
            </w:pPr>
          </w:p>
        </w:tc>
        <w:tc>
          <w:tcPr>
            <w:tcW w:w="2693" w:type="dxa"/>
            <w:vAlign w:val="center"/>
          </w:tcPr>
          <w:p>
            <w:pPr>
              <w:widowControl w:val="0"/>
              <w:jc w:val="center"/>
              <w:rPr>
                <w:szCs w:val="21"/>
              </w:rPr>
            </w:pPr>
            <w:r>
              <w:rPr>
                <w:rFonts w:hint="eastAsia"/>
                <w:szCs w:val="21"/>
              </w:rPr>
              <w:t>采光系数标准值</w:t>
            </w:r>
          </w:p>
          <w:p>
            <w:pPr>
              <w:widowControl w:val="0"/>
              <w:jc w:val="center"/>
              <w:rPr>
                <w:szCs w:val="21"/>
              </w:rPr>
            </w:pPr>
            <w:r>
              <w:t>（%）</w:t>
            </w:r>
          </w:p>
        </w:tc>
        <w:tc>
          <w:tcPr>
            <w:tcW w:w="2693" w:type="dxa"/>
            <w:vAlign w:val="center"/>
          </w:tcPr>
          <w:p>
            <w:pPr>
              <w:widowControl w:val="0"/>
              <w:jc w:val="center"/>
              <w:rPr>
                <w:szCs w:val="21"/>
              </w:rPr>
            </w:pPr>
            <w:r>
              <w:rPr>
                <w:rFonts w:hint="eastAsia"/>
                <w:szCs w:val="21"/>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pPr>
              <w:widowControl w:val="0"/>
              <w:jc w:val="center"/>
              <w:rPr>
                <w:szCs w:val="21"/>
              </w:rPr>
            </w:pPr>
            <w:r>
              <w:rPr>
                <w:rFonts w:hint="eastAsia"/>
                <w:szCs w:val="21"/>
              </w:rPr>
              <w:t>Ⅲ</w:t>
            </w:r>
          </w:p>
        </w:tc>
        <w:tc>
          <w:tcPr>
            <w:tcW w:w="2552" w:type="dxa"/>
            <w:vAlign w:val="center"/>
          </w:tcPr>
          <w:p>
            <w:pPr>
              <w:widowControl w:val="0"/>
              <w:jc w:val="center"/>
              <w:rPr>
                <w:szCs w:val="21"/>
              </w:rPr>
            </w:pPr>
            <w:r>
              <w:rPr>
                <w:rFonts w:hint="eastAsia"/>
                <w:szCs w:val="21"/>
              </w:rPr>
              <w:t>专用教室、实验室、阶梯教室、教师办公室</w:t>
            </w:r>
          </w:p>
        </w:tc>
        <w:tc>
          <w:tcPr>
            <w:tcW w:w="2693" w:type="dxa"/>
            <w:vAlign w:val="center"/>
          </w:tcPr>
          <w:p>
            <w:pPr>
              <w:widowControl w:val="0"/>
              <w:jc w:val="center"/>
              <w:rPr>
                <w:szCs w:val="21"/>
              </w:rPr>
            </w:pPr>
            <w:r>
              <w:rPr>
                <w:rFonts w:hint="eastAsia"/>
                <w:szCs w:val="21"/>
              </w:rPr>
              <w:t>3.0</w:t>
            </w:r>
          </w:p>
        </w:tc>
        <w:tc>
          <w:tcPr>
            <w:tcW w:w="2693" w:type="dxa"/>
            <w:vAlign w:val="center"/>
          </w:tcPr>
          <w:p>
            <w:pPr>
              <w:widowControl w:val="0"/>
              <w:jc w:val="center"/>
              <w:rPr>
                <w:szCs w:val="21"/>
              </w:rPr>
            </w:pPr>
            <w:r>
              <w:rPr>
                <w:rFonts w:hint="eastAsia"/>
                <w:szCs w:val="21"/>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pPr>
              <w:widowControl w:val="0"/>
              <w:jc w:val="center"/>
              <w:rPr>
                <w:szCs w:val="21"/>
              </w:rPr>
            </w:pPr>
            <w:r>
              <w:rPr>
                <w:rFonts w:hint="eastAsia"/>
                <w:szCs w:val="21"/>
              </w:rPr>
              <w:t>Ⅴ</w:t>
            </w:r>
          </w:p>
        </w:tc>
        <w:tc>
          <w:tcPr>
            <w:tcW w:w="2552" w:type="dxa"/>
            <w:vAlign w:val="center"/>
          </w:tcPr>
          <w:p>
            <w:pPr>
              <w:widowControl w:val="0"/>
              <w:jc w:val="center"/>
              <w:rPr>
                <w:szCs w:val="21"/>
              </w:rPr>
            </w:pPr>
            <w:r>
              <w:rPr>
                <w:rFonts w:hint="eastAsia"/>
                <w:szCs w:val="21"/>
              </w:rPr>
              <w:t>走道、楼梯间、卫生间</w:t>
            </w:r>
          </w:p>
        </w:tc>
        <w:tc>
          <w:tcPr>
            <w:tcW w:w="2693" w:type="dxa"/>
            <w:vAlign w:val="center"/>
          </w:tcPr>
          <w:p>
            <w:pPr>
              <w:widowControl w:val="0"/>
              <w:jc w:val="center"/>
              <w:rPr>
                <w:szCs w:val="21"/>
              </w:rPr>
            </w:pPr>
            <w:r>
              <w:rPr>
                <w:rFonts w:hint="eastAsia"/>
                <w:szCs w:val="21"/>
              </w:rPr>
              <w:t>1.0</w:t>
            </w:r>
          </w:p>
          <w:p>
            <w:pPr>
              <w:widowControl w:val="0"/>
              <w:jc w:val="center"/>
              <w:rPr>
                <w:szCs w:val="21"/>
              </w:rPr>
            </w:pPr>
          </w:p>
          <w:p>
            <w:pPr>
              <w:widowControl w:val="0"/>
              <w:jc w:val="center"/>
              <w:rPr>
                <w:szCs w:val="21"/>
              </w:rPr>
            </w:pPr>
          </w:p>
          <w:p>
            <w:pPr>
              <w:widowControl w:val="0"/>
              <w:jc w:val="center"/>
              <w:rPr>
                <w:szCs w:val="21"/>
              </w:rPr>
            </w:pPr>
          </w:p>
          <w:p>
            <w:pPr>
              <w:widowControl w:val="0"/>
              <w:jc w:val="center"/>
              <w:rPr>
                <w:szCs w:val="21"/>
              </w:rPr>
            </w:pPr>
          </w:p>
        </w:tc>
        <w:tc>
          <w:tcPr>
            <w:tcW w:w="2693" w:type="dxa"/>
            <w:vAlign w:val="center"/>
          </w:tcPr>
          <w:p>
            <w:pPr>
              <w:widowControl w:val="0"/>
              <w:jc w:val="center"/>
              <w:rPr>
                <w:szCs w:val="21"/>
              </w:rPr>
            </w:pPr>
            <w:r>
              <w:rPr>
                <w:rFonts w:hint="eastAsia"/>
                <w:szCs w:val="21"/>
              </w:rPr>
              <w:t>150</w:t>
            </w:r>
          </w:p>
        </w:tc>
      </w:tr>
    </w:tbl>
    <w:p>
      <w:pPr>
        <w:ind w:firstLine="199" w:firstLineChars="95"/>
        <w:jc w:val="left"/>
        <w:rPr>
          <w:rFonts w:ascii="微软雅黑" w:hAnsi="微软雅黑" w:eastAsia="微软雅黑"/>
        </w:rPr>
      </w:pPr>
      <w:bookmarkStart w:id="38" w:name="条文描述_展览建筑"/>
      <w:r>
        <w:rPr>
          <w:rFonts w:ascii="微软雅黑" w:hAnsi="微软雅黑" w:eastAsia="微软雅黑"/>
        </w:rPr>
        <w:t>4.0.</w:t>
      </w:r>
      <w:r>
        <w:rPr>
          <w:rFonts w:hint="eastAsia" w:ascii="微软雅黑" w:hAnsi="微软雅黑" w:eastAsia="微软雅黑"/>
        </w:rPr>
        <w:t>12</w:t>
      </w:r>
      <w:r>
        <w:rPr>
          <w:rFonts w:ascii="微软雅黑" w:hAnsi="微软雅黑" w:eastAsia="微软雅黑"/>
        </w:rPr>
        <w:t xml:space="preserve"> </w:t>
      </w:r>
      <w:r>
        <w:rPr>
          <w:rFonts w:hint="eastAsia" w:ascii="微软雅黑" w:hAnsi="微软雅黑" w:eastAsia="微软雅黑"/>
        </w:rPr>
        <w:t>展览建筑的采光标准值不应低于表4.0.12的规定。</w:t>
      </w:r>
    </w:p>
    <w:p>
      <w:pPr>
        <w:pStyle w:val="18"/>
        <w:ind w:left="902" w:firstLine="0" w:firstLineChars="0"/>
        <w:jc w:val="center"/>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93"/>
        <w:gridCol w:w="1276"/>
        <w:gridCol w:w="1321"/>
        <w:gridCol w:w="1134"/>
        <w:gridCol w:w="15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18"/>
              </w:rPr>
            </w:pPr>
            <w:r>
              <w:rPr>
                <w:rFonts w:hint="eastAsia"/>
                <w:szCs w:val="18"/>
              </w:rPr>
              <w:t>采光等级</w:t>
            </w:r>
          </w:p>
        </w:tc>
        <w:tc>
          <w:tcPr>
            <w:tcW w:w="2693" w:type="dxa"/>
            <w:vMerge w:val="restart"/>
            <w:tcBorders>
              <w:top w:val="single" w:color="auto" w:sz="12"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场所名称</w:t>
            </w:r>
          </w:p>
        </w:tc>
        <w:tc>
          <w:tcPr>
            <w:tcW w:w="2597" w:type="dxa"/>
            <w:gridSpan w:val="2"/>
            <w:tcBorders>
              <w:top w:val="single" w:color="auto" w:sz="12"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侧面采光</w:t>
            </w:r>
          </w:p>
        </w:tc>
        <w:tc>
          <w:tcPr>
            <w:tcW w:w="2708" w:type="dxa"/>
            <w:gridSpan w:val="2"/>
            <w:tcBorders>
              <w:top w:val="single" w:color="auto" w:sz="12" w:space="0"/>
              <w:left w:val="single" w:color="auto" w:sz="4" w:space="0"/>
              <w:bottom w:val="single" w:color="auto" w:sz="4" w:space="0"/>
              <w:right w:val="single" w:color="auto" w:sz="12" w:space="0"/>
            </w:tcBorders>
          </w:tcPr>
          <w:p>
            <w:pPr>
              <w:widowControl w:val="0"/>
              <w:jc w:val="center"/>
              <w:rPr>
                <w:szCs w:val="18"/>
              </w:rPr>
            </w:pPr>
            <w:r>
              <w:rPr>
                <w:rFonts w:hint="eastAsia"/>
                <w:szCs w:val="18"/>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18"/>
              </w:rPr>
            </w:pPr>
          </w:p>
        </w:tc>
        <w:tc>
          <w:tcPr>
            <w:tcW w:w="2693"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采光系数</w:t>
            </w:r>
          </w:p>
          <w:p>
            <w:pPr>
              <w:widowControl w:val="0"/>
              <w:jc w:val="center"/>
              <w:rPr>
                <w:szCs w:val="18"/>
              </w:rPr>
            </w:pPr>
            <w:r>
              <w:rPr>
                <w:rFonts w:hint="eastAsia"/>
                <w:szCs w:val="18"/>
              </w:rPr>
              <w:t>标准值（%）</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室</w:t>
            </w:r>
            <w:r>
              <w:rPr>
                <w:rFonts w:hint="eastAsia"/>
                <w:szCs w:val="21"/>
              </w:rPr>
              <w:t>内</w:t>
            </w:r>
            <w:r>
              <w:rPr>
                <w:rFonts w:hint="eastAsia"/>
                <w:szCs w:val="18"/>
              </w:rPr>
              <w:t>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采光系数标准值（%）</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jc w:val="center"/>
              <w:rPr>
                <w:szCs w:val="18"/>
              </w:rPr>
            </w:pPr>
            <w:r>
              <w:rPr>
                <w:rFonts w:hint="eastAsia"/>
                <w:szCs w:val="18"/>
              </w:rPr>
              <w:t>室</w:t>
            </w:r>
            <w:r>
              <w:rPr>
                <w:rFonts w:hint="eastAsia"/>
                <w:szCs w:val="21"/>
              </w:rPr>
              <w:t>内</w:t>
            </w:r>
            <w:r>
              <w:rPr>
                <w:rFonts w:hint="eastAsia"/>
                <w:szCs w:val="18"/>
              </w:rPr>
              <w:t>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jc w:val="center"/>
              <w:rPr>
                <w:szCs w:val="18"/>
              </w:rPr>
            </w:pPr>
            <w:r>
              <w:rPr>
                <w:rFonts w:hint="eastAsia"/>
                <w:szCs w:val="18"/>
              </w:rPr>
              <w:t>Ⅲ</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val="0"/>
              <w:rPr>
                <w:szCs w:val="18"/>
              </w:rPr>
            </w:pPr>
            <w:r>
              <w:rPr>
                <w:rFonts w:hint="eastAsia"/>
                <w:szCs w:val="18"/>
              </w:rPr>
              <w:t>展厅（单层及顶层）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3.0</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2.0</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jc w:val="center"/>
              <w:rPr>
                <w:szCs w:val="18"/>
              </w:rPr>
            </w:pPr>
            <w:r>
              <w:rPr>
                <w:rFonts w:hint="eastAsia"/>
                <w:szCs w:val="18"/>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jc w:val="center"/>
              <w:rPr>
                <w:szCs w:val="18"/>
              </w:rPr>
            </w:pPr>
            <w:r>
              <w:rPr>
                <w:rFonts w:hint="eastAsia"/>
                <w:szCs w:val="18"/>
              </w:rPr>
              <w:t>Ⅳ</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val="0"/>
              <w:rPr>
                <w:szCs w:val="18"/>
              </w:rPr>
            </w:pPr>
            <w:r>
              <w:rPr>
                <w:rFonts w:hint="eastAsia"/>
                <w:szCs w:val="18"/>
              </w:rPr>
              <w:t>登录厅、连接通道</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2.0</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1.0</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jc w:val="center"/>
              <w:rPr>
                <w:szCs w:val="18"/>
              </w:rPr>
            </w:pPr>
            <w:r>
              <w:rPr>
                <w:rFonts w:hint="eastAsia"/>
                <w:szCs w:val="18"/>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jc w:val="center"/>
              <w:rPr>
                <w:szCs w:val="18"/>
              </w:rPr>
            </w:pPr>
            <w:r>
              <w:rPr>
                <w:rFonts w:hint="eastAsia"/>
                <w:szCs w:val="18"/>
              </w:rPr>
              <w:t>Ⅴ</w:t>
            </w:r>
          </w:p>
        </w:tc>
        <w:tc>
          <w:tcPr>
            <w:tcW w:w="2693" w:type="dxa"/>
            <w:tcBorders>
              <w:top w:val="single" w:color="auto" w:sz="4" w:space="0"/>
              <w:left w:val="single" w:color="auto" w:sz="4" w:space="0"/>
              <w:bottom w:val="single" w:color="auto" w:sz="12" w:space="0"/>
              <w:right w:val="single" w:color="auto" w:sz="4" w:space="0"/>
            </w:tcBorders>
            <w:vAlign w:val="center"/>
          </w:tcPr>
          <w:p>
            <w:pPr>
              <w:widowControl w:val="0"/>
              <w:rPr>
                <w:szCs w:val="18"/>
              </w:rPr>
            </w:pPr>
            <w:r>
              <w:rPr>
                <w:rFonts w:hint="eastAsia"/>
                <w:szCs w:val="18"/>
              </w:rPr>
              <w:t>库房、楼梯间、卫生间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pPr>
              <w:widowControl w:val="0"/>
              <w:jc w:val="center"/>
              <w:rPr>
                <w:szCs w:val="18"/>
              </w:rPr>
            </w:pPr>
            <w:r>
              <w:rPr>
                <w:rFonts w:hint="eastAsia"/>
                <w:szCs w:val="18"/>
              </w:rPr>
              <w:t>1.0</w:t>
            </w:r>
          </w:p>
        </w:tc>
        <w:tc>
          <w:tcPr>
            <w:tcW w:w="1321" w:type="dxa"/>
            <w:tcBorders>
              <w:top w:val="single" w:color="auto" w:sz="4" w:space="0"/>
              <w:left w:val="single" w:color="auto" w:sz="4" w:space="0"/>
              <w:bottom w:val="single" w:color="auto" w:sz="12" w:space="0"/>
              <w:right w:val="single" w:color="auto" w:sz="4" w:space="0"/>
            </w:tcBorders>
            <w:vAlign w:val="center"/>
          </w:tcPr>
          <w:p>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jc w:val="center"/>
              <w:rPr>
                <w:szCs w:val="18"/>
              </w:rPr>
            </w:pPr>
            <w:r>
              <w:rPr>
                <w:rFonts w:hint="eastAsia"/>
                <w:szCs w:val="18"/>
              </w:rPr>
              <w:t>0.5</w:t>
            </w:r>
          </w:p>
        </w:tc>
        <w:tc>
          <w:tcPr>
            <w:tcW w:w="1574" w:type="dxa"/>
            <w:tcBorders>
              <w:top w:val="single" w:color="auto" w:sz="4" w:space="0"/>
              <w:left w:val="single" w:color="auto" w:sz="4" w:space="0"/>
              <w:bottom w:val="single" w:color="auto" w:sz="12" w:space="0"/>
              <w:right w:val="single" w:color="auto" w:sz="12" w:space="0"/>
            </w:tcBorders>
            <w:vAlign w:val="center"/>
          </w:tcPr>
          <w:p>
            <w:pPr>
              <w:widowControl w:val="0"/>
              <w:jc w:val="center"/>
              <w:rPr>
                <w:szCs w:val="18"/>
              </w:rPr>
            </w:pPr>
            <w:r>
              <w:rPr>
                <w:rFonts w:hint="eastAsia"/>
                <w:szCs w:val="18"/>
              </w:rPr>
              <w:t>75</w:t>
            </w:r>
          </w:p>
        </w:tc>
      </w:tr>
    </w:tbl>
    <w:p>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pPr>
        <w:jc w:val="both"/>
        <w:rPr>
          <w:sz w:val="24"/>
        </w:rPr>
      </w:pPr>
    </w:p>
    <w:p>
      <w:pPr>
        <w:pStyle w:val="3"/>
        <w:spacing w:line="360" w:lineRule="auto"/>
        <w:ind w:firstLine="420"/>
        <w:rPr>
          <w:b/>
          <w:lang w:val="en-US"/>
        </w:rPr>
      </w:pPr>
      <w:r>
        <w:rPr>
          <w:rFonts w:hint="eastAsia"/>
          <w:lang w:val="en-US"/>
        </w:rPr>
        <w:t>■</w:t>
      </w:r>
      <w:r>
        <w:rPr>
          <w:rFonts w:hint="eastAsia"/>
          <w:b/>
          <w:lang w:val="en-US"/>
        </w:rPr>
        <w:t>《绿色建筑评价标准技术细则2019》</w:t>
      </w:r>
    </w:p>
    <w:p>
      <w:pPr>
        <w:pStyle w:val="3"/>
        <w:spacing w:line="360" w:lineRule="auto"/>
        <w:ind w:firstLine="420"/>
        <w:rPr>
          <w:sz w:val="32"/>
          <w:lang w:val="en-US"/>
        </w:rPr>
      </w:pPr>
      <w:r>
        <w:rPr>
          <w:rFonts w:hint="eastAsia"/>
        </w:rPr>
        <w:t>公共建筑动态采光要求：</w:t>
      </w:r>
    </w:p>
    <w:p>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pPr>
        <w:pStyle w:val="3"/>
        <w:ind w:left="420" w:leftChars="200"/>
      </w:pPr>
    </w:p>
    <w:p>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pPr>
        <w:pStyle w:val="3"/>
      </w:pPr>
    </w:p>
    <w:p>
      <w:pPr>
        <w:pStyle w:val="2"/>
        <w:ind w:left="432" w:hanging="432"/>
      </w:pPr>
      <w:bookmarkStart w:id="39" w:name="_Toc10753"/>
      <w:r>
        <w:rPr>
          <w:rFonts w:hint="eastAsia"/>
        </w:rPr>
        <w:t>动态采光</w:t>
      </w:r>
      <w:r>
        <w:t>概述</w:t>
      </w:r>
      <w:bookmarkEnd w:id="37"/>
      <w:bookmarkEnd w:id="38"/>
      <w:bookmarkEnd w:id="39"/>
    </w:p>
    <w:p>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40" w:name="_Toc290149059"/>
      <w:bookmarkStart w:id="41" w:name="_Toc290209317"/>
      <w:bookmarkStart w:id="42" w:name="_Toc275165387"/>
      <w:bookmarkStart w:id="43" w:name="_Toc264043630"/>
      <w:bookmarkStart w:id="44" w:name="_Toc264569237"/>
      <w:bookmarkStart w:id="45" w:name="_Toc290209341"/>
      <w:bookmarkStart w:id="46" w:name="_Toc312399796"/>
    </w:p>
    <w:p>
      <w:pPr>
        <w:pStyle w:val="3"/>
      </w:pPr>
      <w:r>
        <w:t xml:space="preserve"> </w:t>
      </w:r>
    </w:p>
    <w:bookmarkEnd w:id="40"/>
    <w:bookmarkEnd w:id="41"/>
    <w:bookmarkEnd w:id="42"/>
    <w:bookmarkEnd w:id="43"/>
    <w:bookmarkEnd w:id="44"/>
    <w:bookmarkEnd w:id="45"/>
    <w:bookmarkEnd w:id="46"/>
    <w:p>
      <w:pPr>
        <w:pStyle w:val="4"/>
        <w:tabs>
          <w:tab w:val="left" w:pos="862"/>
          <w:tab w:val="clear" w:pos="578"/>
        </w:tabs>
        <w:ind w:left="862"/>
      </w:pPr>
      <w:bookmarkStart w:id="47" w:name="_Toc11218"/>
      <w:r>
        <w:rPr>
          <w:rFonts w:hint="eastAsia"/>
        </w:rPr>
        <w:t>计算方法</w:t>
      </w:r>
      <w:bookmarkEnd w:id="47"/>
    </w:p>
    <w:p>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pPr>
        <w:pStyle w:val="4"/>
        <w:tabs>
          <w:tab w:val="left" w:pos="862"/>
          <w:tab w:val="clear" w:pos="578"/>
        </w:tabs>
        <w:ind w:left="862"/>
      </w:pPr>
      <w:bookmarkStart w:id="48" w:name="_Toc18067"/>
      <w:r>
        <w:t>软件</w:t>
      </w:r>
      <w:r>
        <w:rPr>
          <w:rFonts w:hint="eastAsia"/>
        </w:rPr>
        <w:t>选用</w:t>
      </w:r>
      <w:bookmarkEnd w:id="48"/>
    </w:p>
    <w:p>
      <w:pPr>
        <w:pStyle w:val="3"/>
        <w:ind w:firstLine="420" w:firstLineChars="200"/>
      </w:pPr>
      <w:bookmarkStart w:id="49" w:name="标准名称2"/>
      <w:r>
        <w:t>《绿色建筑评价标准》GB/T 50378-2019</w:t>
      </w:r>
      <w:bookmarkEnd w:id="49"/>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pPr>
        <w:pStyle w:val="3"/>
        <w:ind w:firstLine="420" w:firstLineChars="200"/>
      </w:pPr>
      <w:bookmarkStart w:id="50"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50"/>
    </w:p>
    <w:p>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pPr>
        <w:pStyle w:val="2"/>
        <w:ind w:left="432" w:hanging="432"/>
      </w:pPr>
      <w:bookmarkStart w:id="51" w:name="_Toc512608187"/>
      <w:bookmarkStart w:id="52" w:name="_Toc24035"/>
      <w:r>
        <w:rPr>
          <w:rFonts w:hint="eastAsia"/>
        </w:rPr>
        <w:t>采光计算</w:t>
      </w:r>
      <w:r>
        <w:t>参数</w:t>
      </w:r>
      <w:r>
        <w:rPr>
          <w:rFonts w:hint="eastAsia"/>
        </w:rPr>
        <w:t>取值</w:t>
      </w:r>
      <w:bookmarkEnd w:id="51"/>
      <w:bookmarkEnd w:id="52"/>
    </w:p>
    <w:p>
      <w:pPr>
        <w:pStyle w:val="4"/>
      </w:pPr>
      <w:bookmarkStart w:id="53" w:name="_Toc264043629"/>
      <w:bookmarkStart w:id="54" w:name="_Toc264569236"/>
      <w:bookmarkStart w:id="55" w:name="_Toc275165386"/>
      <w:bookmarkStart w:id="56" w:name="_Toc290149058"/>
      <w:bookmarkStart w:id="57" w:name="_Toc290209316"/>
      <w:bookmarkStart w:id="58" w:name="_Toc290209340"/>
      <w:bookmarkStart w:id="59" w:name="_Toc312399795"/>
      <w:bookmarkStart w:id="60" w:name="_Toc512608188"/>
      <w:bookmarkStart w:id="61" w:name="_Toc18603"/>
      <w:r>
        <w:t>模拟</w:t>
      </w:r>
      <w:bookmarkEnd w:id="53"/>
      <w:bookmarkEnd w:id="54"/>
      <w:bookmarkEnd w:id="55"/>
      <w:bookmarkEnd w:id="56"/>
      <w:bookmarkEnd w:id="57"/>
      <w:bookmarkEnd w:id="58"/>
      <w:bookmarkEnd w:id="59"/>
      <w:r>
        <w:rPr>
          <w:rFonts w:hint="eastAsia"/>
        </w:rPr>
        <w:t>分析条件说明</w:t>
      </w:r>
      <w:bookmarkEnd w:id="60"/>
      <w:bookmarkEnd w:id="61"/>
    </w:p>
    <w:p>
      <w:pPr>
        <w:pStyle w:val="3"/>
        <w:ind w:left="420" w:leftChars="200"/>
        <w:rPr>
          <w:rFonts w:ascii="宋体" w:hAnsi="宋体"/>
          <w:b/>
          <w:lang w:val="en-US"/>
        </w:rPr>
      </w:pPr>
      <w:r>
        <w:rPr>
          <w:rFonts w:hint="eastAsia" w:ascii="宋体" w:hAnsi="宋体"/>
          <w:b/>
          <w:lang w:val="en-US"/>
        </w:rPr>
        <w:t>光气候数据来源：</w:t>
      </w:r>
      <w:bookmarkStart w:id="62" w:name="气象数据"/>
      <w:r>
        <w:rPr>
          <w:rFonts w:hint="eastAsia"/>
          <w:lang w:val="en-US"/>
        </w:rPr>
        <w:t>《中国建筑热环境分析专用气象数据集》</w:t>
      </w:r>
      <w:bookmarkEnd w:id="62"/>
    </w:p>
    <w:p>
      <w:pPr>
        <w:pStyle w:val="3"/>
        <w:ind w:left="420" w:leftChars="200"/>
      </w:pPr>
      <w:r>
        <w:rPr>
          <w:rFonts w:hint="eastAsia"/>
          <w:b/>
        </w:rPr>
        <w:t>计算</w:t>
      </w:r>
      <w:r>
        <w:rPr>
          <w:b/>
        </w:rPr>
        <w:t>光线反射次数</w:t>
      </w:r>
      <w:r>
        <w:t>：</w:t>
      </w:r>
      <w:bookmarkStart w:id="63" w:name="光线反射次数"/>
      <w:r>
        <w:rPr>
          <w:rFonts w:hint="eastAsia"/>
        </w:rPr>
        <w:t>3</w:t>
      </w:r>
      <w:bookmarkEnd w:id="63"/>
      <w:r>
        <w:rPr>
          <w:rFonts w:hint="eastAsia"/>
        </w:rPr>
        <w:t>次；</w:t>
      </w:r>
    </w:p>
    <w:p>
      <w:pPr>
        <w:pStyle w:val="3"/>
        <w:ind w:left="420" w:leftChars="200"/>
      </w:pPr>
      <w:r>
        <w:rPr>
          <w:rFonts w:hint="eastAsia"/>
          <w:b/>
        </w:rPr>
        <w:t>分析参考平面</w:t>
      </w:r>
      <w:r>
        <w:rPr>
          <w:rFonts w:hint="eastAsia"/>
        </w:rPr>
        <w:t>：功能房间取距地面</w:t>
      </w:r>
      <w:bookmarkStart w:id="64" w:name="分析面高"/>
      <w:r>
        <w:rPr>
          <w:rFonts w:hint="eastAsia"/>
        </w:rPr>
        <w:t>0.75</w:t>
      </w:r>
      <w:bookmarkEnd w:id="64"/>
      <w:r>
        <w:rPr>
          <w:rFonts w:hint="eastAsia"/>
        </w:rPr>
        <w:t>米；</w:t>
      </w:r>
    </w:p>
    <w:p>
      <w:pPr>
        <w:pStyle w:val="3"/>
        <w:ind w:left="420" w:leftChars="200"/>
      </w:pPr>
      <w:bookmarkStart w:id="65"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pPr>
              <w:jc w:val="center"/>
            </w:pPr>
            <w:r>
              <w:rPr>
                <w:rFonts w:hint="eastAsia"/>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pPr>
            <w:r>
              <w:rPr>
                <w:rFonts w:hint="eastAsia"/>
              </w:rPr>
              <w:t>≤</w:t>
            </w:r>
            <w:bookmarkStart w:id="66" w:name="网格划分小房间面积"/>
            <w:r>
              <w:rPr>
                <w:rFonts w:hint="eastAsia"/>
              </w:rPr>
              <w:t>10</w:t>
            </w:r>
            <w:bookmarkEnd w:id="66"/>
          </w:p>
        </w:tc>
        <w:tc>
          <w:tcPr>
            <w:tcW w:w="3272" w:type="dxa"/>
            <w:shd w:val="clear" w:color="auto" w:fill="auto"/>
            <w:vAlign w:val="center"/>
          </w:tcPr>
          <w:p>
            <w:pPr>
              <w:jc w:val="center"/>
            </w:pPr>
            <w:bookmarkStart w:id="67" w:name="小房间网格大小"/>
            <w:r>
              <w:rPr>
                <w:rFonts w:hint="eastAsia"/>
              </w:rPr>
              <w:t>0.25</w:t>
            </w:r>
            <w:bookmarkEnd w:id="6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pPr>
            <w:bookmarkStart w:id="68" w:name="网格划分房间面积"/>
            <w:r>
              <w:rPr>
                <w:rFonts w:hint="eastAsia"/>
              </w:rPr>
              <w:t>10~100</w:t>
            </w:r>
            <w:bookmarkEnd w:id="68"/>
          </w:p>
        </w:tc>
        <w:tc>
          <w:tcPr>
            <w:tcW w:w="3272" w:type="dxa"/>
            <w:shd w:val="clear" w:color="auto" w:fill="auto"/>
            <w:vAlign w:val="center"/>
          </w:tcPr>
          <w:p>
            <w:pPr>
              <w:jc w:val="center"/>
            </w:pPr>
            <w:bookmarkStart w:id="69" w:name="网格大小"/>
            <w:r>
              <w:rPr>
                <w:rFonts w:hint="eastAsia"/>
              </w:rPr>
              <w:t>0.50</w:t>
            </w:r>
            <w:bookmarkEnd w:id="6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pPr>
            <w:r>
              <w:rPr>
                <w:rFonts w:hint="eastAsia"/>
              </w:rPr>
              <w:t>≥</w:t>
            </w:r>
            <w:bookmarkStart w:id="70" w:name="网格划分大房间面积"/>
            <w:r>
              <w:rPr>
                <w:rFonts w:hint="eastAsia"/>
              </w:rPr>
              <w:t>100</w:t>
            </w:r>
            <w:bookmarkEnd w:id="70"/>
          </w:p>
        </w:tc>
        <w:tc>
          <w:tcPr>
            <w:tcW w:w="3272" w:type="dxa"/>
            <w:shd w:val="clear" w:color="auto" w:fill="auto"/>
            <w:vAlign w:val="center"/>
          </w:tcPr>
          <w:p>
            <w:pPr>
              <w:jc w:val="center"/>
            </w:pPr>
            <w:bookmarkStart w:id="71" w:name="大房间网格大小"/>
            <w:r>
              <w:rPr>
                <w:rFonts w:hint="eastAsia"/>
              </w:rPr>
              <w:t>1.00</w:t>
            </w:r>
            <w:bookmarkEnd w:id="71"/>
          </w:p>
        </w:tc>
      </w:tr>
    </w:tbl>
    <w:p>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pPr>
        <w:pStyle w:val="4"/>
      </w:pPr>
      <w:bookmarkStart w:id="72" w:name="_Toc32734"/>
      <w:r>
        <w:rPr>
          <w:rFonts w:hint="eastAsia"/>
        </w:rPr>
        <w:t>建筑饰面材料参数</w:t>
      </w:r>
      <w:bookmarkEnd w:id="65"/>
      <w:bookmarkEnd w:id="72"/>
    </w:p>
    <w:p>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pPr>
              <w:jc w:val="center"/>
            </w:pPr>
            <w:r>
              <w:rPr>
                <w:rFonts w:hint="eastAsia"/>
              </w:rPr>
              <w:t>顶棚</w:t>
            </w:r>
          </w:p>
        </w:tc>
        <w:tc>
          <w:tcPr>
            <w:tcW w:w="1661" w:type="dxa"/>
            <w:tcBorders>
              <w:top w:val="single" w:color="auto" w:sz="12" w:space="0"/>
              <w:bottom w:val="single" w:color="auto" w:sz="4" w:space="0"/>
            </w:tcBorders>
            <w:shd w:val="clear" w:color="auto" w:fill="E6E6E6"/>
          </w:tcPr>
          <w:p>
            <w:pPr>
              <w:jc w:val="center"/>
            </w:pPr>
            <w:r>
              <w:rPr>
                <w:rFonts w:hint="eastAsia"/>
              </w:rPr>
              <w:t>地面</w:t>
            </w:r>
          </w:p>
        </w:tc>
        <w:tc>
          <w:tcPr>
            <w:tcW w:w="1661" w:type="dxa"/>
            <w:tcBorders>
              <w:top w:val="single" w:color="auto" w:sz="12" w:space="0"/>
              <w:bottom w:val="single" w:color="auto" w:sz="4" w:space="0"/>
            </w:tcBorders>
            <w:shd w:val="clear" w:color="auto" w:fill="E6E6E6"/>
          </w:tcPr>
          <w:p>
            <w:pPr>
              <w:jc w:val="center"/>
            </w:pPr>
            <w:r>
              <w:rPr>
                <w:rFonts w:hint="eastAsia"/>
              </w:rPr>
              <w:t>墙面</w:t>
            </w:r>
          </w:p>
        </w:tc>
        <w:tc>
          <w:tcPr>
            <w:tcW w:w="1662" w:type="dxa"/>
            <w:tcBorders>
              <w:top w:val="single" w:color="auto" w:sz="12" w:space="0"/>
              <w:bottom w:val="single" w:color="auto" w:sz="4" w:space="0"/>
            </w:tcBorders>
            <w:shd w:val="clear" w:color="auto" w:fill="E6E6E6"/>
          </w:tcPr>
          <w:p>
            <w:pPr>
              <w:jc w:val="center"/>
            </w:pPr>
            <w:r>
              <w:rPr>
                <w:rFonts w:hint="eastAsia"/>
              </w:rPr>
              <w:t>外表面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pPr>
              <w:jc w:val="center"/>
            </w:pPr>
            <w:r>
              <w:rPr>
                <w:rFonts w:hint="eastAsia"/>
              </w:rPr>
              <w:t>反射比材料设计取值</w:t>
            </w:r>
          </w:p>
        </w:tc>
        <w:tc>
          <w:tcPr>
            <w:tcW w:w="1661" w:type="dxa"/>
            <w:tcBorders>
              <w:top w:val="single" w:color="auto" w:sz="4" w:space="0"/>
            </w:tcBorders>
            <w:shd w:val="clear" w:color="auto" w:fill="auto"/>
            <w:vAlign w:val="center"/>
          </w:tcPr>
          <w:p>
            <w:pPr>
              <w:jc w:val="center"/>
            </w:pPr>
            <w:bookmarkStart w:id="73" w:name="顶棚反射比"/>
            <w:r>
              <w:rPr>
                <w:rFonts w:hint="eastAsia"/>
              </w:rPr>
              <w:t>0.75</w:t>
            </w:r>
            <w:bookmarkEnd w:id="73"/>
          </w:p>
        </w:tc>
        <w:tc>
          <w:tcPr>
            <w:tcW w:w="1661" w:type="dxa"/>
            <w:tcBorders>
              <w:top w:val="single" w:color="auto" w:sz="4" w:space="0"/>
            </w:tcBorders>
            <w:vAlign w:val="center"/>
          </w:tcPr>
          <w:p>
            <w:pPr>
              <w:jc w:val="center"/>
            </w:pPr>
            <w:bookmarkStart w:id="74" w:name="地面反射比"/>
            <w:r>
              <w:rPr>
                <w:rFonts w:hint="eastAsia"/>
              </w:rPr>
              <w:t>0.30</w:t>
            </w:r>
            <w:bookmarkEnd w:id="74"/>
          </w:p>
        </w:tc>
        <w:tc>
          <w:tcPr>
            <w:tcW w:w="1661" w:type="dxa"/>
            <w:tcBorders>
              <w:top w:val="single" w:color="auto" w:sz="4" w:space="0"/>
            </w:tcBorders>
            <w:vAlign w:val="center"/>
          </w:tcPr>
          <w:p>
            <w:pPr>
              <w:jc w:val="center"/>
            </w:pPr>
            <w:bookmarkStart w:id="75" w:name="墙面反射比"/>
            <w:r>
              <w:rPr>
                <w:rFonts w:hint="eastAsia"/>
              </w:rPr>
              <w:t>0.60</w:t>
            </w:r>
            <w:bookmarkEnd w:id="75"/>
          </w:p>
        </w:tc>
        <w:tc>
          <w:tcPr>
            <w:tcW w:w="1662" w:type="dxa"/>
            <w:tcBorders>
              <w:top w:val="single" w:color="auto" w:sz="4" w:space="0"/>
            </w:tcBorders>
            <w:vAlign w:val="center"/>
          </w:tcPr>
          <w:p>
            <w:pPr>
              <w:jc w:val="center"/>
            </w:pPr>
            <w:bookmarkStart w:id="76" w:name="外表面反射比"/>
            <w:r>
              <w:rPr>
                <w:rFonts w:hint="eastAsia"/>
              </w:rPr>
              <w:t>0.30</w:t>
            </w:r>
            <w:bookmarkEnd w:id="76"/>
          </w:p>
        </w:tc>
      </w:tr>
    </w:tbl>
    <w:p>
      <w:pPr>
        <w:pStyle w:val="14"/>
        <w:spacing w:line="360" w:lineRule="auto"/>
        <w:ind w:firstLine="360"/>
        <w:rPr>
          <w:rFonts w:ascii="Times New Roman" w:hAnsi="Times New Roman"/>
          <w:sz w:val="18"/>
          <w:szCs w:val="18"/>
        </w:rPr>
      </w:pPr>
    </w:p>
    <w:p>
      <w:pPr>
        <w:pStyle w:val="4"/>
      </w:pPr>
      <w:bookmarkStart w:id="77" w:name="_Toc5775"/>
      <w:r>
        <w:rPr>
          <w:rFonts w:hint="eastAsia"/>
        </w:rPr>
        <w:t>门窗类型参数</w:t>
      </w:r>
      <w:bookmarkEnd w:id="77"/>
    </w:p>
    <w:p>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pPr>
        <w:pStyle w:val="3"/>
        <w:rPr>
          <w:sz w:val="18"/>
          <w:szCs w:val="18"/>
          <w:lang w:val="en-US"/>
        </w:rPr>
      </w:pPr>
    </w:p>
    <w:p>
      <w:pPr>
        <w:pStyle w:val="5"/>
      </w:pPr>
      <w:bookmarkStart w:id="78" w:name="_Toc29896"/>
      <w:bookmarkStart w:id="79" w:name="窗"/>
      <w:r>
        <w:t>普通</w:t>
      </w:r>
      <w:r>
        <w:rPr>
          <w:rFonts w:hint="eastAsia"/>
        </w:rPr>
        <w:t>窗</w:t>
      </w:r>
      <w:bookmarkEnd w:id="78"/>
    </w:p>
    <w:bookmarkEnd w:id="79"/>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18"/>
                <w:szCs w:val="18"/>
              </w:rPr>
            </w:pPr>
            <w:r>
              <w:rPr>
                <w:sz w:val="18"/>
                <w:szCs w:val="18"/>
              </w:rPr>
              <w:t>门窗编号</w:t>
            </w:r>
          </w:p>
        </w:tc>
        <w:tc>
          <w:tcPr>
            <w:shd w:val="clear" w:color="auto" w:fill="E6E6E6"/>
            <w:vAlign w:val="center"/>
          </w:tcPr>
          <w:p>
            <w:pPr>
              <w:jc w:val="center"/>
              <w:rPr>
                <w:sz w:val="18"/>
                <w:szCs w:val="18"/>
              </w:rPr>
            </w:pPr>
            <w:r>
              <w:rPr>
                <w:sz w:val="18"/>
                <w:szCs w:val="18"/>
              </w:rPr>
              <w:t>宽度(mm)</w:t>
            </w:r>
          </w:p>
        </w:tc>
        <w:tc>
          <w:tcPr>
            <w:shd w:val="clear" w:color="auto" w:fill="E6E6E6"/>
            <w:vAlign w:val="center"/>
          </w:tcPr>
          <w:p>
            <w:pPr>
              <w:jc w:val="center"/>
              <w:rPr>
                <w:sz w:val="18"/>
                <w:szCs w:val="18"/>
              </w:rPr>
            </w:pPr>
            <w:r>
              <w:rPr>
                <w:sz w:val="18"/>
                <w:szCs w:val="18"/>
              </w:rPr>
              <w:t>高度(mm)</w:t>
            </w:r>
          </w:p>
        </w:tc>
        <w:tc>
          <w:tcPr>
            <w:shd w:val="clear" w:color="auto" w:fill="E6E6E6"/>
            <w:vAlign w:val="center"/>
          </w:tcPr>
          <w:p>
            <w:pPr>
              <w:jc w:val="center"/>
              <w:rPr>
                <w:sz w:val="18"/>
                <w:szCs w:val="18"/>
              </w:rPr>
            </w:pPr>
            <w:r>
              <w:rPr>
                <w:sz w:val="18"/>
                <w:szCs w:val="18"/>
              </w:rPr>
              <w:t>窗框类型</w:t>
            </w:r>
          </w:p>
        </w:tc>
        <w:tc>
          <w:tcPr>
            <w:shd w:val="clear" w:color="auto" w:fill="E6E6E6"/>
            <w:vAlign w:val="center"/>
          </w:tcPr>
          <w:p>
            <w:pPr>
              <w:jc w:val="center"/>
              <w:rPr>
                <w:sz w:val="18"/>
                <w:szCs w:val="18"/>
              </w:rPr>
            </w:pPr>
            <w:r>
              <w:rPr>
                <w:sz w:val="18"/>
                <w:szCs w:val="18"/>
              </w:rPr>
              <w:t>玻璃类型</w:t>
            </w:r>
          </w:p>
        </w:tc>
        <w:tc>
          <w:tcPr>
            <w:shd w:val="clear" w:color="auto" w:fill="E6E6E6"/>
            <w:vAlign w:val="center"/>
          </w:tcPr>
          <w:p>
            <w:pPr>
              <w:jc w:val="center"/>
              <w:rPr>
                <w:sz w:val="18"/>
                <w:szCs w:val="18"/>
              </w:rPr>
            </w:pPr>
            <w:r>
              <w:rPr>
                <w:sz w:val="18"/>
                <w:szCs w:val="18"/>
              </w:rPr>
              <w:t>可见光透射比</w:t>
            </w:r>
          </w:p>
        </w:tc>
        <w:tc>
          <w:tcPr>
            <w:shd w:val="clear" w:color="auto" w:fill="E6E6E6"/>
            <w:vAlign w:val="center"/>
          </w:tcPr>
          <w:p>
            <w:pPr>
              <w:jc w:val="center"/>
              <w:rPr>
                <w:sz w:val="18"/>
                <w:szCs w:val="18"/>
              </w:rPr>
            </w:pPr>
            <w:r>
              <w:rPr>
                <w:sz w:val="18"/>
                <w:szCs w:val="18"/>
              </w:rPr>
              <w:t>玻璃反射比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C0615</w:t>
            </w:r>
          </w:p>
        </w:tc>
        <w:tc>
          <w:tcPr>
            <w:vAlign w:val="center"/>
          </w:tcPr>
          <w:p>
            <w:pPr>
              <w:jc w:val="center"/>
              <w:rPr>
                <w:sz w:val="18"/>
                <w:szCs w:val="18"/>
              </w:rPr>
            </w:pPr>
            <w:r>
              <w:rPr>
                <w:sz w:val="18"/>
                <w:szCs w:val="18"/>
              </w:rPr>
              <w:t>600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C0621</w:t>
            </w:r>
          </w:p>
        </w:tc>
        <w:tc>
          <w:tcPr>
            <w:vAlign w:val="center"/>
          </w:tcPr>
          <w:p>
            <w:pPr>
              <w:jc w:val="center"/>
              <w:rPr>
                <w:sz w:val="18"/>
                <w:szCs w:val="18"/>
              </w:rPr>
            </w:pPr>
            <w:r>
              <w:rPr>
                <w:sz w:val="18"/>
                <w:szCs w:val="18"/>
              </w:rPr>
              <w:t>600</w:t>
            </w:r>
          </w:p>
        </w:tc>
        <w:tc>
          <w:tcPr>
            <w:vAlign w:val="center"/>
          </w:tcPr>
          <w:p>
            <w:pPr>
              <w:jc w:val="center"/>
              <w:rPr>
                <w:sz w:val="18"/>
                <w:szCs w:val="18"/>
              </w:rPr>
            </w:pPr>
            <w:r>
              <w:rPr>
                <w:sz w:val="18"/>
                <w:szCs w:val="18"/>
              </w:rPr>
              <w:t>2100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C1215</w:t>
            </w:r>
          </w:p>
        </w:tc>
        <w:tc>
          <w:tcPr>
            <w:vAlign w:val="center"/>
          </w:tcPr>
          <w:p>
            <w:pPr>
              <w:jc w:val="center"/>
              <w:rPr>
                <w:sz w:val="18"/>
                <w:szCs w:val="18"/>
              </w:rPr>
            </w:pPr>
            <w:r>
              <w:rPr>
                <w:sz w:val="18"/>
                <w:szCs w:val="18"/>
              </w:rPr>
              <w:t>1200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C1515</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C1815</w:t>
            </w:r>
          </w:p>
        </w:tc>
        <w:tc>
          <w:tcPr>
            <w:vAlign w:val="center"/>
          </w:tcPr>
          <w:p>
            <w:pPr>
              <w:jc w:val="center"/>
              <w:rPr>
                <w:sz w:val="18"/>
                <w:szCs w:val="18"/>
              </w:rPr>
            </w:pPr>
            <w:r>
              <w:rPr>
                <w:sz w:val="18"/>
                <w:szCs w:val="18"/>
              </w:rPr>
              <w:t>1800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C1821</w:t>
            </w:r>
          </w:p>
        </w:tc>
        <w:tc>
          <w:tcPr>
            <w:vAlign w:val="center"/>
          </w:tcPr>
          <w:p>
            <w:pPr>
              <w:jc w:val="center"/>
              <w:rPr>
                <w:sz w:val="18"/>
                <w:szCs w:val="18"/>
              </w:rPr>
            </w:pPr>
            <w:r>
              <w:rPr>
                <w:sz w:val="18"/>
                <w:szCs w:val="18"/>
              </w:rPr>
              <w:t>1800</w:t>
            </w:r>
          </w:p>
        </w:tc>
        <w:tc>
          <w:tcPr>
            <w:vAlign w:val="center"/>
          </w:tcPr>
          <w:p>
            <w:pPr>
              <w:jc w:val="center"/>
              <w:rPr>
                <w:sz w:val="18"/>
                <w:szCs w:val="18"/>
              </w:rPr>
            </w:pPr>
            <w:r>
              <w:rPr>
                <w:sz w:val="18"/>
                <w:szCs w:val="18"/>
              </w:rPr>
              <w:t>2100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C2415</w:t>
            </w:r>
          </w:p>
        </w:tc>
        <w:tc>
          <w:tcPr>
            <w:vAlign w:val="center"/>
          </w:tcPr>
          <w:p>
            <w:pPr>
              <w:jc w:val="center"/>
              <w:rPr>
                <w:sz w:val="18"/>
                <w:szCs w:val="18"/>
              </w:rPr>
            </w:pPr>
            <w:r>
              <w:rPr>
                <w:sz w:val="18"/>
                <w:szCs w:val="18"/>
              </w:rPr>
              <w:t>2400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C2428</w:t>
            </w:r>
          </w:p>
        </w:tc>
        <w:tc>
          <w:tcPr>
            <w:vAlign w:val="center"/>
          </w:tcPr>
          <w:p>
            <w:pPr>
              <w:jc w:val="center"/>
              <w:rPr>
                <w:sz w:val="18"/>
                <w:szCs w:val="18"/>
              </w:rPr>
            </w:pPr>
            <w:r>
              <w:rPr>
                <w:sz w:val="18"/>
                <w:szCs w:val="18"/>
              </w:rPr>
              <w:t>2400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C2715</w:t>
            </w:r>
          </w:p>
        </w:tc>
        <w:tc>
          <w:tcPr>
            <w:vAlign w:val="center"/>
          </w:tcPr>
          <w:p>
            <w:pPr>
              <w:jc w:val="center"/>
              <w:rPr>
                <w:sz w:val="18"/>
                <w:szCs w:val="18"/>
              </w:rPr>
            </w:pPr>
            <w:r>
              <w:rPr>
                <w:sz w:val="18"/>
                <w:szCs w:val="18"/>
              </w:rPr>
              <w:t>2700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C3015</w:t>
            </w:r>
          </w:p>
        </w:tc>
        <w:tc>
          <w:tcPr>
            <w:vAlign w:val="center"/>
          </w:tcPr>
          <w:p>
            <w:pPr>
              <w:jc w:val="center"/>
              <w:rPr>
                <w:sz w:val="18"/>
                <w:szCs w:val="18"/>
              </w:rPr>
            </w:pPr>
            <w:r>
              <w:rPr>
                <w:sz w:val="18"/>
                <w:szCs w:val="18"/>
              </w:rPr>
              <w:t>3000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C3621</w:t>
            </w:r>
          </w:p>
        </w:tc>
        <w:tc>
          <w:tcPr>
            <w:vAlign w:val="center"/>
          </w:tcPr>
          <w:p>
            <w:pPr>
              <w:jc w:val="center"/>
              <w:rPr>
                <w:sz w:val="18"/>
                <w:szCs w:val="18"/>
              </w:rPr>
            </w:pPr>
            <w:r>
              <w:rPr>
                <w:sz w:val="18"/>
                <w:szCs w:val="18"/>
              </w:rPr>
              <w:t>3600</w:t>
            </w:r>
          </w:p>
        </w:tc>
        <w:tc>
          <w:tcPr>
            <w:vAlign w:val="center"/>
          </w:tcPr>
          <w:p>
            <w:pPr>
              <w:jc w:val="center"/>
              <w:rPr>
                <w:sz w:val="18"/>
                <w:szCs w:val="18"/>
              </w:rPr>
            </w:pPr>
            <w:r>
              <w:rPr>
                <w:sz w:val="18"/>
                <w:szCs w:val="18"/>
              </w:rPr>
              <w:t>2100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C6024</w:t>
            </w:r>
          </w:p>
        </w:tc>
        <w:tc>
          <w:tcPr>
            <w:vAlign w:val="center"/>
          </w:tcPr>
          <w:p>
            <w:pPr>
              <w:jc w:val="center"/>
              <w:rPr>
                <w:sz w:val="18"/>
                <w:szCs w:val="18"/>
              </w:rPr>
            </w:pPr>
            <w:r>
              <w:rPr>
                <w:sz w:val="18"/>
                <w:szCs w:val="18"/>
              </w:rPr>
              <w:t>6000</w:t>
            </w:r>
          </w:p>
        </w:tc>
        <w:tc>
          <w:tcPr>
            <w:vAlign w:val="center"/>
          </w:tcPr>
          <w:p>
            <w:pPr>
              <w:jc w:val="center"/>
              <w:rPr>
                <w:sz w:val="18"/>
                <w:szCs w:val="18"/>
              </w:rPr>
            </w:pPr>
            <w:r>
              <w:rPr>
                <w:sz w:val="18"/>
                <w:szCs w:val="18"/>
              </w:rPr>
              <w:t>2100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5"/>
      </w:pPr>
      <w:bookmarkStart w:id="80" w:name="_Toc11690"/>
      <w:bookmarkStart w:id="81" w:name="幕墙"/>
      <w:r>
        <w:rPr>
          <w:rFonts w:hint="eastAsia"/>
        </w:rPr>
        <w:t>玻璃幕墙</w:t>
      </w:r>
      <w:bookmarkEnd w:id="80"/>
    </w:p>
    <w:bookmarkEnd w:id="81"/>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18"/>
                <w:szCs w:val="18"/>
              </w:rPr>
            </w:pPr>
            <w:r>
              <w:rPr>
                <w:sz w:val="18"/>
                <w:szCs w:val="18"/>
              </w:rPr>
              <w:t>门窗编号</w:t>
            </w:r>
          </w:p>
        </w:tc>
        <w:tc>
          <w:tcPr>
            <w:shd w:val="clear" w:color="auto" w:fill="E6E6E6"/>
            <w:vAlign w:val="center"/>
          </w:tcPr>
          <w:p>
            <w:pPr>
              <w:jc w:val="center"/>
              <w:rPr>
                <w:sz w:val="18"/>
                <w:szCs w:val="18"/>
              </w:rPr>
            </w:pPr>
            <w:r>
              <w:rPr>
                <w:sz w:val="18"/>
                <w:szCs w:val="18"/>
              </w:rPr>
              <w:t>宽度(mm)</w:t>
            </w:r>
          </w:p>
        </w:tc>
        <w:tc>
          <w:tcPr>
            <w:shd w:val="clear" w:color="auto" w:fill="E6E6E6"/>
            <w:vAlign w:val="center"/>
          </w:tcPr>
          <w:p>
            <w:pPr>
              <w:jc w:val="center"/>
              <w:rPr>
                <w:sz w:val="18"/>
                <w:szCs w:val="18"/>
              </w:rPr>
            </w:pPr>
            <w:r>
              <w:rPr>
                <w:sz w:val="18"/>
                <w:szCs w:val="18"/>
              </w:rPr>
              <w:t>高度(mm)</w:t>
            </w:r>
          </w:p>
        </w:tc>
        <w:tc>
          <w:tcPr>
            <w:shd w:val="clear" w:color="auto" w:fill="E6E6E6"/>
            <w:vAlign w:val="center"/>
          </w:tcPr>
          <w:p>
            <w:pPr>
              <w:jc w:val="center"/>
              <w:rPr>
                <w:sz w:val="18"/>
                <w:szCs w:val="18"/>
              </w:rPr>
            </w:pPr>
            <w:r>
              <w:rPr>
                <w:sz w:val="18"/>
                <w:szCs w:val="18"/>
              </w:rPr>
              <w:t>窗框类型</w:t>
            </w:r>
          </w:p>
        </w:tc>
        <w:tc>
          <w:tcPr>
            <w:shd w:val="clear" w:color="auto" w:fill="E6E6E6"/>
            <w:vAlign w:val="center"/>
          </w:tcPr>
          <w:p>
            <w:pPr>
              <w:jc w:val="center"/>
              <w:rPr>
                <w:sz w:val="18"/>
                <w:szCs w:val="18"/>
              </w:rPr>
            </w:pPr>
            <w:r>
              <w:rPr>
                <w:sz w:val="18"/>
                <w:szCs w:val="18"/>
              </w:rPr>
              <w:t>玻璃类型</w:t>
            </w:r>
          </w:p>
        </w:tc>
        <w:tc>
          <w:tcPr>
            <w:shd w:val="clear" w:color="auto" w:fill="E6E6E6"/>
            <w:vAlign w:val="center"/>
          </w:tcPr>
          <w:p>
            <w:pPr>
              <w:jc w:val="center"/>
              <w:rPr>
                <w:sz w:val="18"/>
                <w:szCs w:val="18"/>
              </w:rPr>
            </w:pPr>
            <w:r>
              <w:rPr>
                <w:sz w:val="18"/>
                <w:szCs w:val="18"/>
              </w:rPr>
              <w:t>可见光透射比</w:t>
            </w:r>
          </w:p>
        </w:tc>
        <w:tc>
          <w:tcPr>
            <w:shd w:val="clear" w:color="auto" w:fill="E6E6E6"/>
            <w:vAlign w:val="center"/>
          </w:tcPr>
          <w:p>
            <w:pPr>
              <w:jc w:val="center"/>
              <w:rPr>
                <w:sz w:val="18"/>
                <w:szCs w:val="18"/>
              </w:rPr>
            </w:pPr>
            <w:r>
              <w:rPr>
                <w:sz w:val="18"/>
                <w:szCs w:val="18"/>
              </w:rPr>
              <w:t>玻璃反射比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p>
        </w:tc>
        <w:tc>
          <w:tcPr>
            <w:vAlign w:val="center"/>
          </w:tcPr>
          <w:p>
            <w:pPr>
              <w:jc w:val="center"/>
              <w:rPr>
                <w:sz w:val="18"/>
                <w:szCs w:val="18"/>
              </w:rPr>
            </w:pPr>
            <w:r>
              <w:rPr>
                <w:sz w:val="18"/>
                <w:szCs w:val="18"/>
              </w:rPr>
              <w:t>2423</w:t>
            </w:r>
          </w:p>
        </w:tc>
        <w:tc>
          <w:tcPr>
            <w:vAlign w:val="center"/>
          </w:tcPr>
          <w:p>
            <w:pPr>
              <w:jc w:val="center"/>
              <w:rPr>
                <w:sz w:val="18"/>
                <w:szCs w:val="18"/>
              </w:rPr>
            </w:pPr>
            <w:r>
              <w:rPr>
                <w:sz w:val="18"/>
                <w:szCs w:val="18"/>
              </w:rPr>
              <w:t>4000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5"/>
      </w:pPr>
      <w:bookmarkStart w:id="82" w:name="_Toc6415"/>
      <w:bookmarkStart w:id="83" w:name="天窗"/>
      <w:r>
        <w:rPr>
          <w:rFonts w:hint="eastAsia"/>
        </w:rPr>
        <w:t>天 窗</w:t>
      </w:r>
      <w:bookmarkEnd w:id="82"/>
    </w:p>
    <w:bookmarkEnd w:id="83"/>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18"/>
                <w:szCs w:val="18"/>
              </w:rPr>
            </w:pPr>
            <w:r>
              <w:rPr>
                <w:sz w:val="18"/>
                <w:szCs w:val="18"/>
              </w:rPr>
              <w:t>门窗编号</w:t>
            </w:r>
          </w:p>
        </w:tc>
        <w:tc>
          <w:tcPr>
            <w:shd w:val="clear" w:color="auto" w:fill="E6E6E6"/>
            <w:vAlign w:val="center"/>
          </w:tcPr>
          <w:p>
            <w:pPr>
              <w:jc w:val="center"/>
              <w:rPr>
                <w:sz w:val="18"/>
                <w:szCs w:val="18"/>
              </w:rPr>
            </w:pPr>
            <w:r>
              <w:rPr>
                <w:sz w:val="18"/>
                <w:szCs w:val="18"/>
              </w:rPr>
              <w:t>宽度(mm)</w:t>
            </w:r>
          </w:p>
        </w:tc>
        <w:tc>
          <w:tcPr>
            <w:shd w:val="clear" w:color="auto" w:fill="E6E6E6"/>
            <w:vAlign w:val="center"/>
          </w:tcPr>
          <w:p>
            <w:pPr>
              <w:jc w:val="center"/>
              <w:rPr>
                <w:sz w:val="18"/>
                <w:szCs w:val="18"/>
              </w:rPr>
            </w:pPr>
            <w:r>
              <w:rPr>
                <w:sz w:val="18"/>
                <w:szCs w:val="18"/>
              </w:rPr>
              <w:t>高度(mm)</w:t>
            </w:r>
          </w:p>
        </w:tc>
        <w:tc>
          <w:tcPr>
            <w:shd w:val="clear" w:color="auto" w:fill="E6E6E6"/>
            <w:vAlign w:val="center"/>
          </w:tcPr>
          <w:p>
            <w:pPr>
              <w:jc w:val="center"/>
              <w:rPr>
                <w:sz w:val="18"/>
                <w:szCs w:val="18"/>
              </w:rPr>
            </w:pPr>
            <w:r>
              <w:rPr>
                <w:sz w:val="18"/>
                <w:szCs w:val="18"/>
              </w:rPr>
              <w:t>面积</w:t>
            </w:r>
          </w:p>
        </w:tc>
        <w:tc>
          <w:tcPr>
            <w:shd w:val="clear" w:color="auto" w:fill="E6E6E6"/>
            <w:vAlign w:val="center"/>
          </w:tcPr>
          <w:p>
            <w:pPr>
              <w:jc w:val="center"/>
              <w:rPr>
                <w:sz w:val="18"/>
                <w:szCs w:val="18"/>
              </w:rPr>
            </w:pPr>
            <w:r>
              <w:rPr>
                <w:sz w:val="18"/>
                <w:szCs w:val="18"/>
              </w:rPr>
              <w:t>窗框类型</w:t>
            </w:r>
          </w:p>
        </w:tc>
        <w:tc>
          <w:tcPr>
            <w:shd w:val="clear" w:color="auto" w:fill="E6E6E6"/>
            <w:vAlign w:val="center"/>
          </w:tcPr>
          <w:p>
            <w:pPr>
              <w:jc w:val="center"/>
              <w:rPr>
                <w:sz w:val="18"/>
                <w:szCs w:val="18"/>
              </w:rPr>
            </w:pPr>
            <w:r>
              <w:rPr>
                <w:sz w:val="18"/>
                <w:szCs w:val="18"/>
              </w:rPr>
              <w:t>玻璃类型</w:t>
            </w:r>
          </w:p>
        </w:tc>
        <w:tc>
          <w:tcPr>
            <w:shd w:val="clear" w:color="auto" w:fill="E6E6E6"/>
            <w:vAlign w:val="center"/>
          </w:tcPr>
          <w:p>
            <w:pPr>
              <w:jc w:val="center"/>
              <w:rPr>
                <w:sz w:val="18"/>
                <w:szCs w:val="18"/>
              </w:rPr>
            </w:pPr>
            <w:r>
              <w:rPr>
                <w:sz w:val="18"/>
                <w:szCs w:val="18"/>
              </w:rPr>
              <w:t>可见光透射比</w:t>
            </w:r>
          </w:p>
        </w:tc>
        <w:tc>
          <w:tcPr>
            <w:shd w:val="clear" w:color="auto" w:fill="E6E6E6"/>
            <w:vAlign w:val="center"/>
          </w:tcPr>
          <w:p>
            <w:pPr>
              <w:jc w:val="center"/>
              <w:rPr>
                <w:sz w:val="18"/>
                <w:szCs w:val="18"/>
              </w:rPr>
            </w:pPr>
            <w:r>
              <w:rPr>
                <w:sz w:val="18"/>
                <w:szCs w:val="18"/>
              </w:rPr>
              <w:t>玻璃反射比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TC01</w:t>
            </w:r>
          </w:p>
        </w:tc>
        <w:tc>
          <w:tcPr>
            <w:vAlign w:val="center"/>
          </w:tcPr>
          <w:p>
            <w:pPr>
              <w:jc w:val="center"/>
              <w:rPr>
                <w:sz w:val="18"/>
                <w:szCs w:val="18"/>
              </w:rPr>
            </w:pPr>
            <w:r>
              <w:rPr>
                <w:sz w:val="18"/>
                <w:szCs w:val="18"/>
              </w:rPr>
              <w:t>6000</w:t>
            </w:r>
          </w:p>
        </w:tc>
        <w:tc>
          <w:tcPr>
            <w:vAlign w:val="center"/>
          </w:tcPr>
          <w:p>
            <w:pPr>
              <w:jc w:val="center"/>
              <w:rPr>
                <w:sz w:val="18"/>
                <w:szCs w:val="18"/>
              </w:rPr>
            </w:pPr>
            <w:r>
              <w:rPr>
                <w:sz w:val="18"/>
                <w:szCs w:val="18"/>
              </w:rPr>
              <w:t>6000</w:t>
            </w:r>
          </w:p>
        </w:tc>
        <w:tc>
          <w:tcPr>
            <w:vAlign w:val="center"/>
          </w:tcPr>
          <w:p>
            <w:pPr>
              <w:jc w:val="center"/>
              <w:rPr>
                <w:sz w:val="18"/>
                <w:szCs w:val="18"/>
              </w:rPr>
            </w:pPr>
            <w:r>
              <w:rPr>
                <w:sz w:val="18"/>
                <w:szCs w:val="18"/>
              </w:rPr>
              <w:t>36.000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TC02</w:t>
            </w:r>
          </w:p>
        </w:tc>
        <w:tc>
          <w:tcPr>
            <w:vAlign w:val="center"/>
          </w:tcPr>
          <w:p>
            <w:pPr>
              <w:jc w:val="center"/>
              <w:rPr>
                <w:sz w:val="18"/>
                <w:szCs w:val="18"/>
              </w:rPr>
            </w:pPr>
            <w:r>
              <w:rPr>
                <w:sz w:val="18"/>
                <w:szCs w:val="18"/>
              </w:rPr>
              <w:t>6000</w:t>
            </w:r>
          </w:p>
        </w:tc>
        <w:tc>
          <w:tcPr>
            <w:vAlign w:val="center"/>
          </w:tcPr>
          <w:p>
            <w:pPr>
              <w:jc w:val="center"/>
              <w:rPr>
                <w:sz w:val="18"/>
                <w:szCs w:val="18"/>
              </w:rPr>
            </w:pPr>
            <w:r>
              <w:rPr>
                <w:sz w:val="18"/>
                <w:szCs w:val="18"/>
              </w:rPr>
              <w:t>6000</w:t>
            </w:r>
          </w:p>
        </w:tc>
        <w:tc>
          <w:tcPr>
            <w:vAlign w:val="center"/>
          </w:tcPr>
          <w:p>
            <w:pPr>
              <w:jc w:val="center"/>
              <w:rPr>
                <w:sz w:val="18"/>
                <w:szCs w:val="18"/>
              </w:rPr>
            </w:pPr>
            <w:r>
              <w:rPr>
                <w:sz w:val="18"/>
                <w:szCs w:val="18"/>
              </w:rPr>
              <w:t>36.000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TC03</w:t>
            </w:r>
          </w:p>
        </w:tc>
        <w:tc>
          <w:tcPr>
            <w:vAlign w:val="center"/>
          </w:tcPr>
          <w:p>
            <w:pPr>
              <w:jc w:val="center"/>
              <w:rPr>
                <w:sz w:val="18"/>
                <w:szCs w:val="18"/>
              </w:rPr>
            </w:pPr>
            <w:r>
              <w:rPr>
                <w:sz w:val="18"/>
                <w:szCs w:val="18"/>
              </w:rPr>
              <w:t>6000</w:t>
            </w:r>
          </w:p>
        </w:tc>
        <w:tc>
          <w:tcPr>
            <w:vAlign w:val="center"/>
          </w:tcPr>
          <w:p>
            <w:pPr>
              <w:jc w:val="center"/>
              <w:rPr>
                <w:sz w:val="18"/>
                <w:szCs w:val="18"/>
              </w:rPr>
            </w:pPr>
            <w:r>
              <w:rPr>
                <w:sz w:val="18"/>
                <w:szCs w:val="18"/>
              </w:rPr>
              <w:t>5400</w:t>
            </w:r>
          </w:p>
        </w:tc>
        <w:tc>
          <w:tcPr>
            <w:vAlign w:val="center"/>
          </w:tcPr>
          <w:p>
            <w:pPr>
              <w:jc w:val="center"/>
              <w:rPr>
                <w:sz w:val="18"/>
                <w:szCs w:val="18"/>
              </w:rPr>
            </w:pPr>
            <w:r>
              <w:rPr>
                <w:sz w:val="18"/>
                <w:szCs w:val="18"/>
              </w:rPr>
              <w:t>32.400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bl>
    <w:p>
      <w:pPr>
        <w:pStyle w:val="3"/>
        <w:rPr>
          <w:rFonts w:ascii="宋体" w:hAnsi="宋体"/>
          <w:sz w:val="18"/>
          <w:szCs w:val="18"/>
          <w:lang w:val="en-US"/>
        </w:rPr>
      </w:pPr>
      <w:r>
        <w:rPr>
          <w:rFonts w:ascii="宋体" w:hAnsi="宋体"/>
          <w:sz w:val="18"/>
          <w:szCs w:val="18"/>
          <w:lang w:val="en-US"/>
        </w:rPr>
        <w:t>注：</w:t>
      </w:r>
    </w:p>
    <w:p>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pPr>
        <w:pStyle w:val="3"/>
        <w:rPr>
          <w:rFonts w:ascii="宋体" w:hAnsi="宋体"/>
          <w:sz w:val="18"/>
          <w:szCs w:val="18"/>
          <w:lang w:val="en-US"/>
        </w:rPr>
      </w:pPr>
      <w:bookmarkStart w:id="84" w:name="窗污染折减系数"/>
      <w:bookmarkEnd w:id="84"/>
    </w:p>
    <w:p>
      <w:pPr>
        <w:pStyle w:val="2"/>
        <w:ind w:left="432" w:hanging="432"/>
      </w:pPr>
      <w:bookmarkStart w:id="85" w:name="_Toc8882"/>
      <w:r>
        <w:rPr>
          <w:rFonts w:hint="eastAsia"/>
        </w:rPr>
        <w:t>动态采光达标统计</w:t>
      </w:r>
      <w:bookmarkEnd w:id="85"/>
    </w:p>
    <w:p>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pPr>
              <w:jc w:val="center"/>
              <w:rPr>
                <w:sz w:val="18"/>
                <w:szCs w:val="18"/>
              </w:rPr>
            </w:pPr>
            <w:r>
              <w:rPr>
                <w:sz w:val="18"/>
                <w:szCs w:val="18"/>
              </w:rPr>
              <w:t>楼层</w:t>
            </w:r>
          </w:p>
        </w:tc>
        <w:tc>
          <w:tcPr>
            <w:gridSpan w:val="2"/>
            <w:shd w:val="clear" w:color="auto" w:fill="E6E6E6"/>
            <w:vAlign w:val="center"/>
          </w:tcPr>
          <w:p>
            <w:pPr>
              <w:jc w:val="center"/>
              <w:rPr>
                <w:sz w:val="18"/>
                <w:szCs w:val="18"/>
              </w:rPr>
            </w:pPr>
            <w:r>
              <w:rPr>
                <w:sz w:val="18"/>
                <w:szCs w:val="18"/>
              </w:rPr>
              <w:t>房间</w:t>
            </w:r>
          </w:p>
        </w:tc>
        <w:tc>
          <w:tcPr>
            <w:gridSpan w:val="2"/>
            <w:shd w:val="clear" w:color="auto" w:fill="E6E6E6"/>
            <w:vAlign w:val="center"/>
          </w:tcPr>
          <w:p>
            <w:pPr>
              <w:jc w:val="center"/>
              <w:rPr>
                <w:sz w:val="18"/>
                <w:szCs w:val="18"/>
              </w:rPr>
            </w:pPr>
            <w:r>
              <w:rPr>
                <w:sz w:val="18"/>
                <w:szCs w:val="18"/>
              </w:rPr>
              <w:t>对标功能</w:t>
            </w:r>
          </w:p>
        </w:tc>
        <w:tc>
          <w:tcPr>
            <w:gridSpan w:val="2"/>
            <w:shd w:val="clear" w:color="auto" w:fill="E6E6E6"/>
            <w:vAlign w:val="center"/>
          </w:tcPr>
          <w:p>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pPr>
              <w:jc w:val="center"/>
              <w:rPr>
                <w:sz w:val="18"/>
                <w:szCs w:val="18"/>
              </w:rPr>
            </w:pPr>
            <w:r>
              <w:rPr>
                <w:sz w:val="18"/>
                <w:szCs w:val="18"/>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pPr>
              <w:jc w:val="center"/>
              <w:rPr>
                <w:sz w:val="18"/>
                <w:szCs w:val="18"/>
              </w:rPr>
            </w:pPr>
            <w:r>
              <w:rPr>
                <w:sz w:val="18"/>
                <w:szCs w:val="18"/>
              </w:rPr>
              <w:t>1</w:t>
            </w:r>
          </w:p>
        </w:tc>
        <w:tc>
          <w:tcPr>
            <w:gridSpan w:val="2"/>
            <w:vAlign w:val="center"/>
          </w:tcPr>
          <w:p>
            <w:pPr>
              <w:jc w:val="center"/>
              <w:rPr>
                <w:sz w:val="18"/>
                <w:szCs w:val="18"/>
              </w:rPr>
            </w:pPr>
            <w:r>
              <w:rPr>
                <w:sz w:val="18"/>
                <w:szCs w:val="18"/>
              </w:rPr>
              <w:t>-1001[大厅]</w:t>
            </w:r>
          </w:p>
        </w:tc>
        <w:tc>
          <w:tcPr>
            <w:gridSpan w:val="2"/>
            <w:vAlign w:val="center"/>
          </w:tcPr>
          <w:p>
            <w:pPr>
              <w:jc w:val="center"/>
              <w:rPr>
                <w:sz w:val="18"/>
                <w:szCs w:val="18"/>
              </w:rPr>
            </w:pPr>
            <w:r>
              <w:rPr>
                <w:sz w:val="18"/>
                <w:szCs w:val="18"/>
              </w:rPr>
              <w:t>登录厅</w:t>
            </w:r>
          </w:p>
        </w:tc>
        <w:tc>
          <w:tcPr>
            <w:gridSpan w:val="2"/>
            <w:vAlign w:val="center"/>
          </w:tcPr>
          <w:p>
            <w:pPr>
              <w:jc w:val="center"/>
              <w:rPr>
                <w:sz w:val="18"/>
                <w:szCs w:val="18"/>
              </w:rPr>
            </w:pPr>
            <w:r>
              <w:rPr>
                <w:sz w:val="18"/>
                <w:szCs w:val="18"/>
              </w:rPr>
              <w:t>IV</w:t>
            </w:r>
          </w:p>
        </w:tc>
        <w:tc>
          <w:tcPr>
            <w:vAlign w:val="center"/>
          </w:tcPr>
          <w:p>
            <w:pPr>
              <w:jc w:val="center"/>
              <w:rPr>
                <w:sz w:val="18"/>
                <w:szCs w:val="18"/>
              </w:rPr>
            </w:pPr>
            <w:r>
              <w:rPr>
                <w:sz w:val="18"/>
                <w:szCs w:val="18"/>
              </w:rPr>
              <w:t>混合</w:t>
            </w:r>
          </w:p>
        </w:tc>
        <w:tc>
          <w:tcPr>
            <w:gridSpan w:val="2"/>
            <w:vAlign w:val="center"/>
          </w:tcPr>
          <w:p>
            <w:pPr>
              <w:jc w:val="center"/>
              <w:rPr>
                <w:sz w:val="18"/>
                <w:szCs w:val="18"/>
              </w:rPr>
            </w:pPr>
            <w:r>
              <w:rPr>
                <w:sz w:val="18"/>
                <w:szCs w:val="18"/>
              </w:rPr>
              <w:t>150</w:t>
            </w:r>
          </w:p>
        </w:tc>
        <w:tc>
          <w:tcPr>
            <w:vAlign w:val="center"/>
          </w:tcPr>
          <w:p>
            <w:pPr>
              <w:jc w:val="center"/>
              <w:rPr>
                <w:sz w:val="18"/>
                <w:szCs w:val="18"/>
              </w:rPr>
            </w:pPr>
            <w:r>
              <w:rPr>
                <w:sz w:val="18"/>
                <w:szCs w:val="18"/>
              </w:rPr>
              <w:t>1949.66</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-1007[普通办公室]</w:t>
            </w:r>
          </w:p>
        </w:tc>
        <w:tc>
          <w:tcPr>
            <w:gridSpan w:val="2"/>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25.66</w:t>
            </w:r>
          </w:p>
        </w:tc>
        <w:tc>
          <w:tcPr>
            <w:gridSpan w:val="2"/>
            <w:vAlign w:val="center"/>
          </w:tcPr>
          <w:p>
            <w:pPr>
              <w:jc w:val="center"/>
              <w:rPr>
                <w:sz w:val="18"/>
                <w:szCs w:val="18"/>
              </w:rPr>
            </w:pPr>
            <w:r>
              <w:rPr>
                <w:sz w:val="18"/>
                <w:szCs w:val="18"/>
              </w:rPr>
              <w:t>55</w:t>
            </w:r>
          </w:p>
        </w:tc>
        <w:tc>
          <w:tcPr>
            <w:vAlign w:val="center"/>
          </w:tcPr>
          <w:p>
            <w:pPr>
              <w:jc w:val="center"/>
              <w:rPr>
                <w:sz w:val="18"/>
                <w:szCs w:val="18"/>
              </w:rPr>
            </w:pPr>
            <w:r>
              <w:rPr>
                <w:color w:val="FF0000"/>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-1008[会议室]</w:t>
            </w:r>
          </w:p>
        </w:tc>
        <w:tc>
          <w:tcPr>
            <w:gridSpan w:val="2"/>
            <w:vAlign w:val="center"/>
          </w:tcPr>
          <w:p>
            <w:pPr>
              <w:jc w:val="center"/>
              <w:rPr>
                <w:sz w:val="18"/>
                <w:szCs w:val="18"/>
              </w:rPr>
            </w:pPr>
            <w:r>
              <w:rPr>
                <w:sz w:val="18"/>
                <w:szCs w:val="18"/>
              </w:rPr>
              <w:t>会议室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21.54</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-1009[办公室]</w:t>
            </w:r>
          </w:p>
        </w:tc>
        <w:tc>
          <w:tcPr>
            <w:gridSpan w:val="2"/>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21.54</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-1010[普通办公室]</w:t>
            </w:r>
          </w:p>
        </w:tc>
        <w:tc>
          <w:tcPr>
            <w:gridSpan w:val="2"/>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19.56</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-1011[办公室]</w:t>
            </w:r>
          </w:p>
        </w:tc>
        <w:tc>
          <w:tcPr>
            <w:gridSpan w:val="2"/>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19.80</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-1013[办公室]</w:t>
            </w:r>
          </w:p>
        </w:tc>
        <w:tc>
          <w:tcPr>
            <w:gridSpan w:val="2"/>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14.24</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-1015[普通办公室]</w:t>
            </w:r>
          </w:p>
        </w:tc>
        <w:tc>
          <w:tcPr>
            <w:gridSpan w:val="2"/>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13.10</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-1018[普通办公室]</w:t>
            </w:r>
          </w:p>
        </w:tc>
        <w:tc>
          <w:tcPr>
            <w:gridSpan w:val="2"/>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12.69</w:t>
            </w:r>
          </w:p>
        </w:tc>
        <w:tc>
          <w:tcPr>
            <w:gridSpan w:val="2"/>
            <w:vAlign w:val="center"/>
          </w:tcPr>
          <w:p>
            <w:pPr>
              <w:jc w:val="center"/>
              <w:rPr>
                <w:sz w:val="18"/>
                <w:szCs w:val="18"/>
              </w:rPr>
            </w:pPr>
            <w:r>
              <w:rPr>
                <w:sz w:val="18"/>
                <w:szCs w:val="18"/>
              </w:rPr>
              <w:t>0</w:t>
            </w:r>
          </w:p>
        </w:tc>
        <w:tc>
          <w:tcPr>
            <w:vAlign w:val="center"/>
          </w:tcPr>
          <w:p>
            <w:pPr>
              <w:jc w:val="center"/>
              <w:rPr>
                <w:sz w:val="18"/>
                <w:szCs w:val="18"/>
              </w:rPr>
            </w:pPr>
            <w:r>
              <w:rPr>
                <w:color w:val="FF0000"/>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-1019[普通办公室]</w:t>
            </w:r>
          </w:p>
        </w:tc>
        <w:tc>
          <w:tcPr>
            <w:gridSpan w:val="2"/>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11.57</w:t>
            </w:r>
          </w:p>
        </w:tc>
        <w:tc>
          <w:tcPr>
            <w:gridSpan w:val="2"/>
            <w:vAlign w:val="center"/>
          </w:tcPr>
          <w:p>
            <w:pPr>
              <w:jc w:val="center"/>
              <w:rPr>
                <w:sz w:val="18"/>
                <w:szCs w:val="18"/>
              </w:rPr>
            </w:pPr>
            <w:r>
              <w:rPr>
                <w:sz w:val="18"/>
                <w:szCs w:val="18"/>
              </w:rPr>
              <w:t>10</w:t>
            </w:r>
          </w:p>
        </w:tc>
        <w:tc>
          <w:tcPr>
            <w:vAlign w:val="center"/>
          </w:tcPr>
          <w:p>
            <w:pPr>
              <w:jc w:val="center"/>
              <w:rPr>
                <w:sz w:val="18"/>
                <w:szCs w:val="18"/>
              </w:rPr>
            </w:pPr>
            <w:r>
              <w:rPr>
                <w:color w:val="FF0000"/>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pPr>
              <w:jc w:val="center"/>
              <w:rPr>
                <w:sz w:val="18"/>
                <w:szCs w:val="18"/>
              </w:rPr>
            </w:pPr>
            <w:r>
              <w:rPr>
                <w:sz w:val="18"/>
                <w:szCs w:val="18"/>
              </w:rPr>
              <w:t>2</w:t>
            </w:r>
          </w:p>
        </w:tc>
        <w:tc>
          <w:tcPr>
            <w:gridSpan w:val="2"/>
            <w:vAlign w:val="center"/>
          </w:tcPr>
          <w:p>
            <w:pPr>
              <w:jc w:val="center"/>
              <w:rPr>
                <w:sz w:val="18"/>
                <w:szCs w:val="18"/>
              </w:rPr>
            </w:pPr>
            <w:r>
              <w:rPr>
                <w:sz w:val="18"/>
                <w:szCs w:val="18"/>
              </w:rPr>
              <w:t>1002[大厅]</w:t>
            </w:r>
          </w:p>
        </w:tc>
        <w:tc>
          <w:tcPr>
            <w:gridSpan w:val="2"/>
            <w:vAlign w:val="center"/>
          </w:tcPr>
          <w:p>
            <w:pPr>
              <w:jc w:val="center"/>
              <w:rPr>
                <w:sz w:val="18"/>
                <w:szCs w:val="18"/>
              </w:rPr>
            </w:pPr>
            <w:r>
              <w:rPr>
                <w:sz w:val="18"/>
                <w:szCs w:val="18"/>
              </w:rPr>
              <w:t>登录厅</w:t>
            </w:r>
          </w:p>
        </w:tc>
        <w:tc>
          <w:tcPr>
            <w:gridSpan w:val="2"/>
            <w:vAlign w:val="center"/>
          </w:tcPr>
          <w:p>
            <w:pPr>
              <w:jc w:val="center"/>
              <w:rPr>
                <w:sz w:val="18"/>
                <w:szCs w:val="18"/>
              </w:rPr>
            </w:pPr>
            <w:r>
              <w:rPr>
                <w:sz w:val="18"/>
                <w:szCs w:val="18"/>
              </w:rPr>
              <w:t>IV</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300</w:t>
            </w:r>
          </w:p>
        </w:tc>
        <w:tc>
          <w:tcPr>
            <w:vAlign w:val="center"/>
          </w:tcPr>
          <w:p>
            <w:pPr>
              <w:jc w:val="center"/>
              <w:rPr>
                <w:sz w:val="18"/>
                <w:szCs w:val="18"/>
              </w:rPr>
            </w:pPr>
            <w:r>
              <w:rPr>
                <w:sz w:val="18"/>
                <w:szCs w:val="18"/>
              </w:rPr>
              <w:t>146.59</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1006[办公室]</w:t>
            </w:r>
          </w:p>
        </w:tc>
        <w:tc>
          <w:tcPr>
            <w:gridSpan w:val="2"/>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32.95</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1007[普通办公室]</w:t>
            </w:r>
          </w:p>
        </w:tc>
        <w:tc>
          <w:tcPr>
            <w:gridSpan w:val="2"/>
            <w:vAlign w:val="center"/>
          </w:tcPr>
          <w:p>
            <w:pPr>
              <w:jc w:val="center"/>
              <w:rPr>
                <w:sz w:val="18"/>
                <w:szCs w:val="18"/>
              </w:rPr>
            </w:pPr>
            <w:r>
              <w:rPr>
                <w:sz w:val="18"/>
                <w:szCs w:val="18"/>
              </w:rPr>
              <w:t>教师办公室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24.13</w:t>
            </w:r>
          </w:p>
        </w:tc>
        <w:tc>
          <w:tcPr>
            <w:gridSpan w:val="2"/>
            <w:vAlign w:val="center"/>
          </w:tcPr>
          <w:p>
            <w:pPr>
              <w:jc w:val="center"/>
              <w:rPr>
                <w:sz w:val="18"/>
                <w:szCs w:val="18"/>
              </w:rPr>
            </w:pPr>
            <w:r>
              <w:rPr>
                <w:sz w:val="18"/>
                <w:szCs w:val="18"/>
              </w:rPr>
              <w:t>57</w:t>
            </w:r>
          </w:p>
        </w:tc>
        <w:tc>
          <w:tcPr>
            <w:vAlign w:val="center"/>
          </w:tcPr>
          <w:p>
            <w:pPr>
              <w:jc w:val="center"/>
              <w:rPr>
                <w:sz w:val="18"/>
                <w:szCs w:val="18"/>
              </w:rPr>
            </w:pPr>
            <w:r>
              <w:rPr>
                <w:color w:val="FF0000"/>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pPr>
              <w:jc w:val="center"/>
              <w:rPr>
                <w:sz w:val="18"/>
                <w:szCs w:val="18"/>
              </w:rPr>
            </w:pPr>
          </w:p>
        </w:tc>
        <w:tc>
          <w:tcPr>
            <w:gridSpan w:val="2"/>
            <w:vAlign w:val="center"/>
          </w:tcPr>
          <w:p>
            <w:pPr>
              <w:jc w:val="center"/>
              <w:rPr>
                <w:sz w:val="18"/>
                <w:szCs w:val="18"/>
              </w:rPr>
            </w:pPr>
            <w:r>
              <w:rPr>
                <w:sz w:val="18"/>
                <w:szCs w:val="18"/>
              </w:rPr>
              <w:t>1008[普通办公室]</w:t>
            </w:r>
          </w:p>
        </w:tc>
        <w:tc>
          <w:tcPr>
            <w:gridSpan w:val="2"/>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23.04</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pPr>
              <w:jc w:val="center"/>
              <w:rPr>
                <w:sz w:val="18"/>
                <w:szCs w:val="18"/>
              </w:rPr>
            </w:pPr>
            <w:r>
              <w:rPr>
                <w:sz w:val="18"/>
                <w:szCs w:val="18"/>
              </w:rPr>
              <w:t>房间类型</w:t>
            </w:r>
          </w:p>
        </w:tc>
        <w:tc>
          <w:tcPr>
            <w:gridSpan w:val="2"/>
            <w:shd w:val="clear" w:color="auto" w:fill="E6E6E6"/>
            <w:vAlign w:val="center"/>
          </w:tcPr>
          <w:p>
            <w:pPr>
              <w:jc w:val="center"/>
              <w:rPr>
                <w:sz w:val="18"/>
                <w:szCs w:val="18"/>
              </w:rPr>
            </w:pPr>
            <w:r>
              <w:rPr>
                <w:sz w:val="18"/>
                <w:szCs w:val="18"/>
              </w:rPr>
              <w:t>采光类型</w:t>
            </w:r>
          </w:p>
        </w:tc>
        <w:tc>
          <w:tcPr>
            <w:gridSpan w:val="2"/>
            <w:shd w:val="clear" w:color="auto" w:fill="E6E6E6"/>
            <w:vAlign w:val="center"/>
          </w:tcPr>
          <w:p>
            <w:pPr>
              <w:jc w:val="center"/>
              <w:rPr>
                <w:sz w:val="18"/>
                <w:szCs w:val="18"/>
              </w:rPr>
            </w:pPr>
            <w:r>
              <w:rPr>
                <w:sz w:val="18"/>
                <w:szCs w:val="18"/>
              </w:rPr>
              <w:t>设计照度(Lx)</w:t>
            </w:r>
          </w:p>
        </w:tc>
        <w:tc>
          <w:tcPr>
            <w:gridSpan w:val="3"/>
            <w:shd w:val="clear" w:color="auto" w:fill="E6E6E6"/>
            <w:vAlign w:val="center"/>
          </w:tcPr>
          <w:p>
            <w:pPr>
              <w:jc w:val="center"/>
              <w:rPr>
                <w:sz w:val="18"/>
                <w:szCs w:val="18"/>
              </w:rPr>
            </w:pPr>
            <w:r>
              <w:rPr>
                <w:sz w:val="18"/>
                <w:szCs w:val="18"/>
              </w:rPr>
              <w:t>总面积(m2)</w:t>
            </w:r>
          </w:p>
        </w:tc>
        <w:tc>
          <w:tcPr>
            <w:gridSpan w:val="3"/>
            <w:shd w:val="clear" w:color="auto" w:fill="E6E6E6"/>
            <w:vAlign w:val="center"/>
          </w:tcPr>
          <w:p>
            <w:pPr>
              <w:jc w:val="center"/>
              <w:rPr>
                <w:sz w:val="18"/>
                <w:szCs w:val="18"/>
              </w:rPr>
            </w:pPr>
            <w:r>
              <w:rPr>
                <w:sz w:val="18"/>
                <w:szCs w:val="18"/>
              </w:rPr>
              <w:t>达标面积比例(%)</w:t>
            </w:r>
          </w:p>
        </w:tc>
        <w:tc>
          <w:tcPr>
            <w:gridSpan w:val="3"/>
            <w:shd w:val="clear" w:color="auto" w:fill="E6E6E6"/>
            <w:vAlign w:val="center"/>
          </w:tcPr>
          <w:p>
            <w:pPr>
              <w:jc w:val="center"/>
              <w:rPr>
                <w:sz w:val="18"/>
                <w:szCs w:val="18"/>
              </w:rPr>
            </w:pPr>
            <w:r>
              <w:rPr>
                <w:sz w:val="18"/>
                <w:szCs w:val="18"/>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pPr>
              <w:jc w:val="center"/>
              <w:rPr>
                <w:sz w:val="18"/>
                <w:szCs w:val="18"/>
              </w:rPr>
            </w:pPr>
            <w:r>
              <w:rPr>
                <w:sz w:val="18"/>
                <w:szCs w:val="18"/>
              </w:rPr>
              <w:t>登录厅</w:t>
            </w:r>
          </w:p>
        </w:tc>
        <w:tc>
          <w:tcPr>
            <w:gridSpan w:val="2"/>
            <w:vAlign w:val="center"/>
          </w:tcPr>
          <w:p>
            <w:pPr>
              <w:jc w:val="center"/>
              <w:rPr>
                <w:sz w:val="18"/>
                <w:szCs w:val="18"/>
              </w:rPr>
            </w:pPr>
            <w:r>
              <w:rPr>
                <w:sz w:val="18"/>
                <w:szCs w:val="18"/>
              </w:rPr>
              <w:t>混合</w:t>
            </w:r>
          </w:p>
        </w:tc>
        <w:tc>
          <w:tcPr>
            <w:gridSpan w:val="2"/>
            <w:vAlign w:val="center"/>
          </w:tcPr>
          <w:p>
            <w:pPr>
              <w:jc w:val="center"/>
              <w:rPr>
                <w:sz w:val="18"/>
                <w:szCs w:val="18"/>
              </w:rPr>
            </w:pPr>
            <w:r>
              <w:rPr>
                <w:sz w:val="18"/>
                <w:szCs w:val="18"/>
              </w:rPr>
              <w:t>150</w:t>
            </w:r>
          </w:p>
        </w:tc>
        <w:tc>
          <w:tcPr>
            <w:gridSpan w:val="3"/>
            <w:vAlign w:val="center"/>
          </w:tcPr>
          <w:p>
            <w:pPr>
              <w:jc w:val="center"/>
              <w:rPr>
                <w:sz w:val="18"/>
                <w:szCs w:val="18"/>
              </w:rPr>
            </w:pPr>
            <w:r>
              <w:rPr>
                <w:sz w:val="18"/>
                <w:szCs w:val="18"/>
              </w:rPr>
              <w:t>1949.66</w:t>
            </w:r>
          </w:p>
        </w:tc>
        <w:tc>
          <w:tcPr>
            <w:gridSpan w:val="3"/>
            <w:vAlign w:val="center"/>
          </w:tcPr>
          <w:p>
            <w:pPr>
              <w:jc w:val="center"/>
              <w:rPr>
                <w:sz w:val="18"/>
                <w:szCs w:val="18"/>
              </w:rPr>
            </w:pPr>
            <w:r>
              <w:rPr>
                <w:sz w:val="18"/>
                <w:szCs w:val="18"/>
              </w:rPr>
              <w:t>100</w:t>
            </w:r>
          </w:p>
        </w:tc>
        <w:tc>
          <w:tcPr>
            <w:gridSpan w:val="3"/>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gridSpan w:val="3"/>
            <w:vAlign w:val="center"/>
          </w:tcPr>
          <w:p>
            <w:pPr>
              <w:jc w:val="center"/>
              <w:rPr>
                <w:sz w:val="18"/>
                <w:szCs w:val="18"/>
              </w:rPr>
            </w:pPr>
            <w:r>
              <w:rPr>
                <w:sz w:val="18"/>
                <w:szCs w:val="18"/>
              </w:rPr>
              <w:t>194.15</w:t>
            </w:r>
          </w:p>
        </w:tc>
        <w:tc>
          <w:tcPr>
            <w:gridSpan w:val="3"/>
            <w:vAlign w:val="center"/>
          </w:tcPr>
          <w:p>
            <w:pPr>
              <w:jc w:val="center"/>
              <w:rPr>
                <w:sz w:val="18"/>
                <w:szCs w:val="18"/>
              </w:rPr>
            </w:pPr>
            <w:r>
              <w:rPr>
                <w:sz w:val="18"/>
                <w:szCs w:val="18"/>
              </w:rPr>
              <w:t>82</w:t>
            </w:r>
          </w:p>
        </w:tc>
        <w:tc>
          <w:tcPr>
            <w:gridSpan w:val="3"/>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pPr>
              <w:jc w:val="center"/>
              <w:rPr>
                <w:sz w:val="18"/>
                <w:szCs w:val="18"/>
              </w:rPr>
            </w:pPr>
            <w:r>
              <w:rPr>
                <w:sz w:val="18"/>
                <w:szCs w:val="18"/>
              </w:rPr>
              <w:t>会议室</w:t>
            </w:r>
          </w:p>
        </w:tc>
        <w:tc>
          <w:tcPr>
            <w:gridSpan w:val="2"/>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gridSpan w:val="3"/>
            <w:vAlign w:val="center"/>
          </w:tcPr>
          <w:p>
            <w:pPr>
              <w:jc w:val="center"/>
              <w:rPr>
                <w:sz w:val="18"/>
                <w:szCs w:val="18"/>
              </w:rPr>
            </w:pPr>
            <w:r>
              <w:rPr>
                <w:sz w:val="18"/>
                <w:szCs w:val="18"/>
              </w:rPr>
              <w:t>21.54</w:t>
            </w:r>
          </w:p>
        </w:tc>
        <w:tc>
          <w:tcPr>
            <w:gridSpan w:val="3"/>
            <w:vAlign w:val="center"/>
          </w:tcPr>
          <w:p>
            <w:pPr>
              <w:jc w:val="center"/>
              <w:rPr>
                <w:sz w:val="18"/>
                <w:szCs w:val="18"/>
              </w:rPr>
            </w:pPr>
            <w:r>
              <w:rPr>
                <w:sz w:val="18"/>
                <w:szCs w:val="18"/>
              </w:rPr>
              <w:t>100</w:t>
            </w:r>
          </w:p>
        </w:tc>
        <w:tc>
          <w:tcPr>
            <w:gridSpan w:val="3"/>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pPr>
              <w:jc w:val="center"/>
              <w:rPr>
                <w:sz w:val="18"/>
                <w:szCs w:val="18"/>
              </w:rPr>
            </w:pPr>
            <w:r>
              <w:rPr>
                <w:sz w:val="18"/>
                <w:szCs w:val="18"/>
              </w:rPr>
              <w:t>登录厅</w:t>
            </w:r>
          </w:p>
        </w:tc>
        <w:tc>
          <w:tcPr>
            <w:gridSpan w:val="2"/>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300</w:t>
            </w:r>
          </w:p>
        </w:tc>
        <w:tc>
          <w:tcPr>
            <w:gridSpan w:val="3"/>
            <w:vAlign w:val="center"/>
          </w:tcPr>
          <w:p>
            <w:pPr>
              <w:jc w:val="center"/>
              <w:rPr>
                <w:sz w:val="18"/>
                <w:szCs w:val="18"/>
              </w:rPr>
            </w:pPr>
            <w:r>
              <w:rPr>
                <w:sz w:val="18"/>
                <w:szCs w:val="18"/>
              </w:rPr>
              <w:t>146.59</w:t>
            </w:r>
          </w:p>
        </w:tc>
        <w:tc>
          <w:tcPr>
            <w:gridSpan w:val="3"/>
            <w:vAlign w:val="center"/>
          </w:tcPr>
          <w:p>
            <w:pPr>
              <w:jc w:val="center"/>
              <w:rPr>
                <w:sz w:val="18"/>
                <w:szCs w:val="18"/>
              </w:rPr>
            </w:pPr>
            <w:r>
              <w:rPr>
                <w:sz w:val="18"/>
                <w:szCs w:val="18"/>
              </w:rPr>
              <w:t>100</w:t>
            </w:r>
          </w:p>
        </w:tc>
        <w:tc>
          <w:tcPr>
            <w:gridSpan w:val="3"/>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pPr>
              <w:jc w:val="center"/>
              <w:rPr>
                <w:sz w:val="18"/>
                <w:szCs w:val="18"/>
              </w:rPr>
            </w:pPr>
            <w:r>
              <w:rPr>
                <w:sz w:val="18"/>
                <w:szCs w:val="18"/>
              </w:rPr>
              <w:t>教师办公室</w:t>
            </w:r>
          </w:p>
        </w:tc>
        <w:tc>
          <w:tcPr>
            <w:gridSpan w:val="2"/>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gridSpan w:val="3"/>
            <w:vAlign w:val="center"/>
          </w:tcPr>
          <w:p>
            <w:pPr>
              <w:jc w:val="center"/>
              <w:rPr>
                <w:sz w:val="18"/>
                <w:szCs w:val="18"/>
              </w:rPr>
            </w:pPr>
            <w:r>
              <w:rPr>
                <w:sz w:val="18"/>
                <w:szCs w:val="18"/>
              </w:rPr>
              <w:t>24.13</w:t>
            </w:r>
          </w:p>
        </w:tc>
        <w:tc>
          <w:tcPr>
            <w:gridSpan w:val="3"/>
            <w:vAlign w:val="center"/>
          </w:tcPr>
          <w:p>
            <w:pPr>
              <w:jc w:val="center"/>
              <w:rPr>
                <w:sz w:val="18"/>
                <w:szCs w:val="18"/>
              </w:rPr>
            </w:pPr>
            <w:r>
              <w:rPr>
                <w:sz w:val="18"/>
                <w:szCs w:val="18"/>
              </w:rPr>
              <w:t>57</w:t>
            </w:r>
          </w:p>
        </w:tc>
        <w:tc>
          <w:tcPr>
            <w:gridSpan w:val="3"/>
            <w:vAlign w:val="center"/>
          </w:tcPr>
          <w:p>
            <w:pPr>
              <w:jc w:val="center"/>
              <w:rPr>
                <w:sz w:val="18"/>
                <w:szCs w:val="18"/>
              </w:rPr>
            </w:pPr>
            <w:r>
              <w:rPr>
                <w:color w:val="FF0000"/>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pPr>
              <w:jc w:val="center"/>
              <w:rPr>
                <w:sz w:val="18"/>
                <w:szCs w:val="18"/>
              </w:rPr>
            </w:pPr>
            <w:r>
              <w:rPr>
                <w:sz w:val="18"/>
                <w:szCs w:val="18"/>
              </w:rPr>
              <w:t>多区域面积加权平均</w:t>
            </w:r>
          </w:p>
        </w:tc>
        <w:tc>
          <w:tcPr>
            <w:gridSpan w:val="3"/>
            <w:vAlign w:val="center"/>
          </w:tcPr>
          <w:p>
            <w:pPr>
              <w:jc w:val="center"/>
              <w:rPr>
                <w:sz w:val="18"/>
                <w:szCs w:val="18"/>
              </w:rPr>
            </w:pPr>
            <w:r>
              <w:rPr>
                <w:sz w:val="18"/>
                <w:szCs w:val="18"/>
              </w:rPr>
              <w:t>98</w:t>
            </w:r>
          </w:p>
        </w:tc>
        <w:tc>
          <w:tcPr>
            <w:gridSpan w:val="3"/>
            <w:vAlign w:val="center"/>
          </w:tcPr>
          <w:p>
            <w:pPr>
              <w:jc w:val="center"/>
              <w:rPr>
                <w:sz w:val="18"/>
                <w:szCs w:val="18"/>
              </w:rPr>
            </w:pPr>
            <w:r>
              <w:rPr>
                <w:b/>
                <w:sz w:val="18"/>
                <w:szCs w:val="18"/>
              </w:rPr>
              <w:t>3分</w:t>
            </w:r>
          </w:p>
        </w:tc>
      </w:tr>
    </w:tbl>
    <w:p>
      <w:pPr>
        <w:pStyle w:val="3"/>
        <w:rPr>
          <w:rFonts w:ascii="宋体" w:hAnsi="宋体"/>
          <w:sz w:val="18"/>
          <w:szCs w:val="18"/>
          <w:lang w:val="en-US"/>
        </w:rPr>
      </w:pPr>
      <w:bookmarkStart w:id="86" w:name="达标率表格"/>
      <w:bookmarkEnd w:id="86"/>
    </w:p>
    <w:p>
      <w:pPr>
        <w:pStyle w:val="2"/>
        <w:ind w:left="432" w:hanging="432"/>
      </w:pPr>
      <w:bookmarkStart w:id="87" w:name="_Toc513555457"/>
      <w:bookmarkStart w:id="88" w:name="_Toc14473"/>
      <w:r>
        <w:rPr>
          <w:rFonts w:hint="eastAsia"/>
        </w:rPr>
        <w:t>动态采光</w:t>
      </w:r>
      <w:bookmarkEnd w:id="87"/>
      <w:r>
        <w:rPr>
          <w:rFonts w:hint="eastAsia"/>
        </w:rPr>
        <w:t>统计图</w:t>
      </w:r>
      <w:bookmarkEnd w:id="88"/>
    </w:p>
    <w:p>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pPr>
        <w:pStyle w:val="3"/>
        <w:jc w:val="center"/>
        <w:rPr>
          <w:b/>
          <w:bCs/>
          <w:lang w:val="en-US"/>
        </w:rPr>
      </w:pPr>
      <w:bookmarkStart w:id="89" w:name="逐日统计图"/>
      <w:bookmarkEnd w:id="89"/>
      <w:r>
        <w:drawing>
          <wp:inline distT="0" distB="0" distL="0" distR="0">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2962275"/>
                    </a:xfrm>
                    <a:prstGeom prst="rect">
                      <a:avLst/>
                    </a:prstGeom>
                  </pic:spPr>
                </pic:pic>
              </a:graphicData>
            </a:graphic>
          </wp:inline>
        </w:drawing>
      </w:r>
    </w:p>
    <w:p>
      <w:pPr>
        <w:pStyle w:val="3"/>
        <w:jc w:val="center"/>
        <w:rPr>
          <w:rFonts w:ascii="黑体" w:hAnsi="黑体" w:eastAsia="黑体"/>
          <w:lang w:val="en-US"/>
        </w:rPr>
      </w:pPr>
      <w:r>
        <w:rPr>
          <w:rFonts w:hint="eastAsia" w:ascii="黑体" w:hAnsi="黑体" w:eastAsia="黑体"/>
          <w:lang w:val="en-US"/>
        </w:rPr>
        <w:t>动态采光逐日统计图</w:t>
      </w:r>
    </w:p>
    <w:p>
      <w:pPr>
        <w:pStyle w:val="3"/>
        <w:jc w:val="center"/>
        <w:rPr>
          <w:b/>
          <w:bCs/>
          <w:lang w:val="en-US"/>
        </w:rPr>
      </w:pPr>
      <w:bookmarkStart w:id="90" w:name="逐月统计图"/>
      <w:bookmarkEnd w:id="90"/>
      <w:r>
        <w:drawing>
          <wp:inline distT="0" distB="0" distL="0" distR="0">
            <wp:extent cx="56673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2962275"/>
                    </a:xfrm>
                    <a:prstGeom prst="rect">
                      <a:avLst/>
                    </a:prstGeom>
                  </pic:spPr>
                </pic:pic>
              </a:graphicData>
            </a:graphic>
          </wp:inline>
        </w:drawing>
      </w:r>
    </w:p>
    <w:p>
      <w:pPr>
        <w:pStyle w:val="3"/>
        <w:jc w:val="center"/>
        <w:rPr>
          <w:rFonts w:ascii="黑体" w:hAnsi="黑体" w:eastAsia="黑体"/>
          <w:lang w:val="en-US"/>
        </w:rPr>
      </w:pPr>
      <w:r>
        <w:rPr>
          <w:rFonts w:hint="eastAsia" w:ascii="黑体" w:hAnsi="黑体" w:eastAsia="黑体"/>
          <w:lang w:val="en-US"/>
        </w:rPr>
        <w:t>动态采光逐月统计图</w:t>
      </w:r>
    </w:p>
    <w:p>
      <w:pPr>
        <w:pStyle w:val="2"/>
        <w:ind w:left="432" w:hanging="432"/>
      </w:pPr>
      <w:bookmarkStart w:id="91" w:name="动态采光彩图"/>
      <w:bookmarkStart w:id="92" w:name="_Toc23601"/>
      <w:r>
        <w:t>动态采光彩图</w:t>
      </w:r>
      <w:bookmarkEnd w:id="91"/>
      <w:bookmarkEnd w:id="92"/>
    </w:p>
    <w:p>
      <w:pPr>
        <w:jc w:val="center"/>
      </w:pPr>
      <w:r>
        <w:drawing>
          <wp:inline distT="0" distB="0" distL="0" distR="0">
            <wp:extent cx="5667375" cy="44100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4410075"/>
                    </a:xfrm>
                    <a:prstGeom prst="rect">
                      <a:avLst/>
                    </a:prstGeom>
                  </pic:spPr>
                </pic:pic>
              </a:graphicData>
            </a:graphic>
          </wp:inline>
        </w:drawing>
      </w:r>
    </w:p>
    <w:p>
      <w:pPr>
        <w:jc w:val="center"/>
      </w:pPr>
      <w:r>
        <w:t>1层</w:t>
      </w:r>
    </w:p>
    <w:p>
      <w:pPr>
        <w:jc w:val="center"/>
      </w:pPr>
      <w:r>
        <w:drawing>
          <wp:inline distT="0" distB="0" distL="0" distR="0">
            <wp:extent cx="5667375" cy="49625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4962525"/>
                    </a:xfrm>
                    <a:prstGeom prst="rect">
                      <a:avLst/>
                    </a:prstGeom>
                  </pic:spPr>
                </pic:pic>
              </a:graphicData>
            </a:graphic>
          </wp:inline>
        </w:drawing>
      </w:r>
    </w:p>
    <w:p>
      <w:pPr>
        <w:jc w:val="center"/>
      </w:pPr>
      <w:r>
        <w:t>2层</w:t>
      </w:r>
    </w:p>
    <w:p>
      <w:pPr>
        <w:jc w:val="center"/>
      </w:pPr>
    </w:p>
    <w:p>
      <w:pPr>
        <w:pStyle w:val="2"/>
        <w:ind w:left="432" w:hanging="432"/>
      </w:pPr>
      <w:bookmarkStart w:id="93" w:name="_Toc2398"/>
      <w:r>
        <w:rPr>
          <w:rFonts w:hint="eastAsia"/>
        </w:rPr>
        <w:t>评价结论</w:t>
      </w:r>
      <w:bookmarkEnd w:id="93"/>
    </w:p>
    <w:p>
      <w:pPr>
        <w:pStyle w:val="3"/>
        <w:ind w:firstLine="420" w:firstLineChars="200"/>
      </w:pPr>
      <w:bookmarkStart w:id="94" w:name="标准名称3"/>
      <w:r>
        <w:t>《绿色建筑评价标准》GB/T 50378-2019</w:t>
      </w:r>
      <w:bookmarkEnd w:id="94"/>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pPr>
              <w:jc w:val="center"/>
            </w:pPr>
            <w:r>
              <w:t>采光总面积（</w:t>
            </w:r>
            <w:r>
              <w:rPr>
                <w:rFonts w:hint="eastAsia"/>
              </w:rPr>
              <w:t>m</w:t>
            </w:r>
            <w:r>
              <w:rPr>
                <w:vertAlign w:val="superscript"/>
              </w:rPr>
              <w:t>2</w:t>
            </w:r>
            <w:r>
              <w:t>）</w:t>
            </w:r>
          </w:p>
        </w:tc>
        <w:tc>
          <w:tcPr>
            <w:tcW w:w="2528" w:type="dxa"/>
            <w:shd w:val="clear" w:color="auto" w:fill="E6E6E6"/>
            <w:vAlign w:val="center"/>
          </w:tcPr>
          <w:p>
            <w:pPr>
              <w:jc w:val="center"/>
            </w:pPr>
            <w:bookmarkStart w:id="95" w:name="动态评价指标"/>
            <w:r>
              <w:rPr>
                <w:rFonts w:hint="eastAsia"/>
              </w:rPr>
              <w:t>达标面积比例(%)</w:t>
            </w:r>
            <w:bookmarkEnd w:id="95"/>
          </w:p>
        </w:tc>
        <w:tc>
          <w:tcPr>
            <w:tcW w:w="2126" w:type="dxa"/>
            <w:shd w:val="clear" w:color="auto" w:fill="E6E6E6"/>
            <w:vAlign w:val="center"/>
          </w:tcPr>
          <w:p>
            <w:pPr>
              <w:jc w:val="center"/>
            </w:pPr>
            <w:r>
              <w:rPr>
                <w:rFonts w:hint="eastAsia"/>
              </w:rPr>
              <w:t>标准</w:t>
            </w:r>
            <w:r>
              <w:t>要求</w:t>
            </w:r>
            <w:r>
              <w:rPr>
                <w:rFonts w:hint="eastAsia"/>
              </w:rPr>
              <w:t>（</w:t>
            </w:r>
            <w:bookmarkStart w:id="96" w:name="动态评价指标单位"/>
            <w:r>
              <w:rPr>
                <w:rFonts w:hint="eastAsia"/>
              </w:rPr>
              <w:t>%</w:t>
            </w:r>
            <w:bookmarkEnd w:id="96"/>
            <w:r>
              <w:rPr>
                <w:rFonts w:hint="eastAsia"/>
              </w:rPr>
              <w:t>）</w:t>
            </w:r>
          </w:p>
        </w:tc>
        <w:tc>
          <w:tcPr>
            <w:tcW w:w="1855" w:type="dxa"/>
            <w:shd w:val="clear" w:color="auto" w:fill="E6E6E6"/>
            <w:vAlign w:val="center"/>
          </w:tcPr>
          <w:p>
            <w:pPr>
              <w:jc w:val="center"/>
            </w:pPr>
            <w: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pPr>
              <w:pStyle w:val="3"/>
              <w:jc w:val="center"/>
            </w:pPr>
            <w:bookmarkStart w:id="97" w:name="采光面积"/>
            <w:r>
              <w:t>2336.07</w:t>
            </w:r>
            <w:bookmarkEnd w:id="97"/>
          </w:p>
        </w:tc>
        <w:tc>
          <w:tcPr>
            <w:tcW w:w="2528" w:type="dxa"/>
            <w:vAlign w:val="center"/>
          </w:tcPr>
          <w:p>
            <w:pPr>
              <w:pStyle w:val="3"/>
              <w:jc w:val="center"/>
            </w:pPr>
            <w:bookmarkStart w:id="98" w:name="平均时数"/>
            <w:r>
              <w:t>98</w:t>
            </w:r>
            <w:bookmarkEnd w:id="98"/>
          </w:p>
        </w:tc>
        <w:tc>
          <w:tcPr>
            <w:tcW w:w="2126" w:type="dxa"/>
            <w:vAlign w:val="center"/>
          </w:tcPr>
          <w:p>
            <w:pPr>
              <w:pStyle w:val="3"/>
              <w:jc w:val="center"/>
            </w:pPr>
            <w:bookmarkStart w:id="99" w:name="动态评价指标要求"/>
            <w:r>
              <w:rPr>
                <w:rFonts w:hint="eastAsia"/>
              </w:rPr>
              <w:t>60</w:t>
            </w:r>
            <w:bookmarkEnd w:id="99"/>
          </w:p>
        </w:tc>
        <w:tc>
          <w:tcPr>
            <w:tcW w:w="1855" w:type="dxa"/>
            <w:vAlign w:val="center"/>
          </w:tcPr>
          <w:p>
            <w:pPr>
              <w:pStyle w:val="3"/>
              <w:jc w:val="center"/>
            </w:pPr>
            <w:bookmarkStart w:id="100" w:name="动态采光得分"/>
            <w:r>
              <w:rPr>
                <w:rFonts w:hint="eastAsia"/>
              </w:rPr>
              <w:t>3</w:t>
            </w:r>
            <w:bookmarkEnd w:id="100"/>
          </w:p>
        </w:tc>
      </w:tr>
    </w:tbl>
    <w:p>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OGU5YjBkM2VhZTI5ODRlZDJiNmFiZmE5NTRiZjYifQ=="/>
  </w:docVars>
  <w:rsids>
    <w:rsidRoot w:val="109E782A"/>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109E7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6"/>
    <w:uiPriority w:val="0"/>
  </w:style>
  <w:style w:type="paragraph" w:styleId="14">
    <w:name w:val="Body Text Indent"/>
    <w:basedOn w:val="1"/>
    <w:link w:val="29"/>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uiPriority w:val="0"/>
  </w:style>
  <w:style w:type="paragraph" w:styleId="17">
    <w:name w:val="footer"/>
    <w:basedOn w:val="1"/>
    <w:link w:val="33"/>
    <w:uiPriority w:val="0"/>
    <w:pPr>
      <w:tabs>
        <w:tab w:val="center" w:pos="4153"/>
        <w:tab w:val="right" w:pos="8306"/>
      </w:tabs>
    </w:pPr>
  </w:style>
  <w:style w:type="paragraph" w:styleId="18">
    <w:name w:val="header"/>
    <w:basedOn w:val="1"/>
    <w:uiPriority w:val="0"/>
    <w:pPr>
      <w:tabs>
        <w:tab w:val="center" w:pos="4153"/>
        <w:tab w:val="right" w:pos="8306"/>
      </w:tabs>
    </w:p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uiPriority w:val="0"/>
    <w:rPr>
      <w:color w:val="800080"/>
      <w:u w:val="single"/>
    </w:rPr>
  </w:style>
  <w:style w:type="character" w:styleId="27">
    <w:name w:val="Hyperlink"/>
    <w:uiPriority w:val="99"/>
    <w:rPr>
      <w:color w:val="0000FF"/>
      <w:u w:val="single"/>
    </w:rPr>
  </w:style>
  <w:style w:type="character" w:styleId="28">
    <w:name w:val="annotation reference"/>
    <w:uiPriority w:val="0"/>
    <w:rPr>
      <w:sz w:val="21"/>
      <w:szCs w:val="21"/>
    </w:rPr>
  </w:style>
  <w:style w:type="character" w:customStyle="1" w:styleId="29">
    <w:name w:val="正文文本缩进 字符"/>
    <w:link w:val="14"/>
    <w:uiPriority w:val="0"/>
    <w:rPr>
      <w:rFonts w:ascii="宋体" w:hAnsi="宋体" w:eastAsia="宋体"/>
      <w:kern w:val="2"/>
      <w:sz w:val="24"/>
      <w:szCs w:val="24"/>
      <w:lang w:val="en-US" w:eastAsia="zh-CN" w:bidi="ar-SA"/>
    </w:rPr>
  </w:style>
  <w:style w:type="paragraph" w:customStyle="1" w:styleId="30">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locked/>
    <w:uiPriority w:val="0"/>
    <w:rPr>
      <w:rFonts w:ascii="宋体" w:hAnsi="宋体" w:eastAsia="宋体"/>
      <w:kern w:val="2"/>
      <w:sz w:val="24"/>
      <w:szCs w:val="24"/>
      <w:lang w:val="en-US" w:eastAsia="zh-CN" w:bidi="ar-SA"/>
    </w:rPr>
  </w:style>
  <w:style w:type="character" w:customStyle="1" w:styleId="32">
    <w:name w:val="Char Char21"/>
    <w:uiPriority w:val="0"/>
    <w:rPr>
      <w:rFonts w:ascii="宋体" w:hAnsi="宋体" w:eastAsia="宋体" w:cs="Times New Roman"/>
      <w:sz w:val="24"/>
      <w:szCs w:val="24"/>
    </w:rPr>
  </w:style>
  <w:style w:type="character" w:customStyle="1" w:styleId="33">
    <w:name w:val="页脚 字符"/>
    <w:link w:val="17"/>
    <w:uiPriority w:val="0"/>
    <w:rPr>
      <w:rFonts w:eastAsia="宋体"/>
      <w:sz w:val="18"/>
      <w:szCs w:val="18"/>
      <w:lang w:val="en-GB" w:eastAsia="zh-CN" w:bidi="ar-SA"/>
    </w:rPr>
  </w:style>
  <w:style w:type="character" w:customStyle="1" w:styleId="34">
    <w:name w:val="Char Char1"/>
    <w:uiPriority w:val="0"/>
    <w:rPr>
      <w:rFonts w:ascii="宋体" w:hAnsi="宋体" w:eastAsia="宋体"/>
      <w:kern w:val="2"/>
      <w:sz w:val="24"/>
      <w:szCs w:val="24"/>
      <w:lang w:val="en-US" w:eastAsia="zh-CN" w:bidi="ar-SA"/>
    </w:rPr>
  </w:style>
  <w:style w:type="character" w:customStyle="1" w:styleId="35">
    <w:name w:val="Char Char"/>
    <w:locked/>
    <w:uiPriority w:val="0"/>
    <w:rPr>
      <w:rFonts w:ascii="宋体" w:hAnsi="宋体" w:eastAsia="宋体"/>
      <w:kern w:val="2"/>
      <w:sz w:val="24"/>
      <w:szCs w:val="24"/>
      <w:lang w:val="en-US" w:eastAsia="zh-CN" w:bidi="ar-SA"/>
    </w:rPr>
  </w:style>
  <w:style w:type="character" w:customStyle="1" w:styleId="36">
    <w:name w:val="批注文字 字符"/>
    <w:link w:val="13"/>
    <w:uiPriority w:val="0"/>
    <w:rPr>
      <w:sz w:val="18"/>
      <w:lang w:val="en-GB"/>
    </w:rPr>
  </w:style>
  <w:style w:type="character" w:customStyle="1" w:styleId="37">
    <w:name w:val="批注主题 字符"/>
    <w:link w:val="21"/>
    <w:uiPriority w:val="0"/>
    <w:rPr>
      <w:b/>
      <w:bCs/>
      <w:sz w:val="18"/>
      <w:lang w:val="en-GB"/>
    </w:rPr>
  </w:style>
  <w:style w:type="character" w:customStyle="1" w:styleId="38">
    <w:name w:val="批注框文本 字符"/>
    <w:link w:val="16"/>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424\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tmp5.dotx</Template>
  <Pages>11</Pages>
  <Words>4067</Words>
  <Characters>5203</Characters>
  <Lines>33</Lines>
  <Paragraphs>9</Paragraphs>
  <TotalTime>0</TotalTime>
  <ScaleCrop>false</ScaleCrop>
  <LinksUpToDate>false</LinksUpToDate>
  <CharactersWithSpaces>5313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2025-03-08T08:09:00Z</dcterms:created>
  <dc:creator>企业用户_794787227</dc:creator>
  <cp:lastModifiedBy>企业用户_794787227</cp:lastModifiedBy>
  <dcterms:modified xsi:type="dcterms:W3CDTF">2025-03-08T08:09:50Z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E420D55B328D4A5782704E49710FA69E_11</vt:lpwstr>
  </property>
  <property fmtid="{D5CDD505-2E9C-101B-9397-08002B2CF9AE}" pid="3" name="KSOProductBuildVer">
    <vt:lpwstr>2052-12.1.0.16120</vt:lpwstr>
  </property>
</Properties>
</file>