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hint="eastAsia" w:ascii="宋体" w:hAnsi="宋体" w:eastAsia="宋体"/>
                <w:szCs w:val="21"/>
                <w:lang w:val="en-US" w:eastAsia="zh-CN"/>
              </w:rPr>
            </w:pPr>
            <w:bookmarkStart w:id="1" w:name="项目名称"/>
            <w:r>
              <w:rPr>
                <w:rFonts w:hint="eastAsia" w:ascii="宋体" w:hAnsi="宋体"/>
                <w:szCs w:val="21"/>
                <w:lang w:val="en-US" w:eastAsia="zh-CN"/>
              </w:rPr>
              <w:t>云栖绿廊</w:t>
            </w:r>
            <w:bookmarkStart w:id="184" w:name="_GoBack"/>
            <w:bookmarkEnd w:id="18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重庆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2025年03月02日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T19132052027</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_Toc28901 </w:instrText>
      </w:r>
      <w:r>
        <w:rPr>
          <w:rFonts w:ascii="宋体" w:hAnsi="宋体"/>
          <w:bCs w:val="0"/>
          <w:caps/>
        </w:rPr>
        <w:fldChar w:fldCharType="separate"/>
      </w:r>
      <w:r>
        <w:rPr>
          <w:rFonts w:hint="eastAsia"/>
        </w:rPr>
        <w:t>1 项目概况</w:t>
      </w:r>
      <w:r>
        <w:tab/>
      </w:r>
      <w:r>
        <w:fldChar w:fldCharType="begin"/>
      </w:r>
      <w:r>
        <w:instrText xml:space="preserve"> PAGEREF _Toc28901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_Toc12987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_Toc12987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_Toc1022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_Toc1022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_Toc149 </w:instrText>
      </w:r>
      <w:r>
        <w:fldChar w:fldCharType="separate"/>
      </w:r>
      <w:r>
        <w:rPr>
          <w:rFonts w:hint="eastAsia"/>
        </w:rPr>
        <w:t>2 计算</w:t>
      </w:r>
      <w:r>
        <w:t>依据</w:t>
      </w:r>
      <w:r>
        <w:tab/>
      </w:r>
      <w:r>
        <w:fldChar w:fldCharType="begin"/>
      </w:r>
      <w:r>
        <w:instrText xml:space="preserve"> PAGEREF _Toc149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_Toc23455 </w:instrText>
      </w:r>
      <w:r>
        <w:fldChar w:fldCharType="separate"/>
      </w:r>
      <w:r>
        <w:rPr>
          <w:rFonts w:hint="eastAsia"/>
        </w:rPr>
        <w:t>3 参考</w:t>
      </w:r>
      <w:r>
        <w:t>标准</w:t>
      </w:r>
      <w:r>
        <w:tab/>
      </w:r>
      <w:r>
        <w:fldChar w:fldCharType="begin"/>
      </w:r>
      <w:r>
        <w:instrText xml:space="preserve"> PAGEREF _Toc23455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_Toc12862 </w:instrText>
      </w:r>
      <w:r>
        <w:fldChar w:fldCharType="separate"/>
      </w:r>
      <w:r>
        <w:rPr>
          <w:rFonts w:hint="eastAsia"/>
        </w:rPr>
        <w:t>4 计算原理</w:t>
      </w:r>
      <w:r>
        <w:tab/>
      </w:r>
      <w:r>
        <w:fldChar w:fldCharType="begin"/>
      </w:r>
      <w:r>
        <w:instrText xml:space="preserve"> PAGEREF _Toc12862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_Toc10393 </w:instrText>
      </w:r>
      <w:r>
        <w:fldChar w:fldCharType="separate"/>
      </w:r>
      <w:r>
        <w:rPr>
          <w:rFonts w:hint="eastAsia"/>
          <w:lang w:val="en-GB"/>
        </w:rPr>
        <w:t xml:space="preserve">4.1 </w:t>
      </w:r>
      <w:r>
        <w:rPr>
          <w:rFonts w:hint="eastAsia"/>
        </w:rPr>
        <w:t>风场计算域</w:t>
      </w:r>
      <w:r>
        <w:tab/>
      </w:r>
      <w:r>
        <w:fldChar w:fldCharType="begin"/>
      </w:r>
      <w:r>
        <w:instrText xml:space="preserve"> PAGEREF _Toc10393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_Toc660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_Toc660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_Toc31347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_Toc31347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_Toc2709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_Toc2709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_Toc5987 </w:instrText>
      </w:r>
      <w:r>
        <w:fldChar w:fldCharType="separate"/>
      </w:r>
      <w:r>
        <w:rPr>
          <w:rFonts w:hint="eastAsia"/>
          <w:lang w:val="en-GB"/>
        </w:rPr>
        <w:t xml:space="preserve">4.2 </w:t>
      </w:r>
      <w:r>
        <w:rPr>
          <w:rFonts w:hint="eastAsia"/>
        </w:rPr>
        <w:t>网格划分</w:t>
      </w:r>
      <w:r>
        <w:tab/>
      </w:r>
      <w:r>
        <w:fldChar w:fldCharType="begin"/>
      </w:r>
      <w:r>
        <w:instrText xml:space="preserve"> PAGEREF _Toc5987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_Toc3080 </w:instrText>
      </w:r>
      <w:r>
        <w:fldChar w:fldCharType="separate"/>
      </w:r>
      <w:r>
        <w:rPr>
          <w:rFonts w:hint="eastAsia"/>
          <w:lang w:val="en-GB"/>
        </w:rPr>
        <w:t xml:space="preserve">4.3 </w:t>
      </w:r>
      <w:r>
        <w:rPr>
          <w:rFonts w:hint="eastAsia"/>
        </w:rPr>
        <w:t>边界条件</w:t>
      </w:r>
      <w:r>
        <w:tab/>
      </w:r>
      <w:r>
        <w:fldChar w:fldCharType="begin"/>
      </w:r>
      <w:r>
        <w:instrText xml:space="preserve"> PAGEREF _Toc3080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_Toc9430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_Toc9430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_Toc24169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_Toc24169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_Toc11565 </w:instrText>
      </w:r>
      <w:r>
        <w:fldChar w:fldCharType="separate"/>
      </w:r>
      <w:r>
        <w:rPr>
          <w:rFonts w:hint="eastAsia"/>
          <w:lang w:val="en-GB"/>
        </w:rPr>
        <w:t xml:space="preserve">4.4 </w:t>
      </w:r>
      <w:r>
        <w:rPr>
          <w:rFonts w:hint="eastAsia"/>
        </w:rPr>
        <w:t>湍流模型</w:t>
      </w:r>
      <w:r>
        <w:tab/>
      </w:r>
      <w:r>
        <w:fldChar w:fldCharType="begin"/>
      </w:r>
      <w:r>
        <w:instrText xml:space="preserve"> PAGEREF _Toc11565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_Toc30741 </w:instrText>
      </w:r>
      <w:r>
        <w:fldChar w:fldCharType="separate"/>
      </w:r>
      <w:r>
        <w:rPr>
          <w:rFonts w:hint="eastAsia"/>
          <w:lang w:val="en-GB"/>
        </w:rPr>
        <w:t xml:space="preserve">4.5 </w:t>
      </w:r>
      <w:r>
        <w:rPr>
          <w:rFonts w:hint="eastAsia"/>
        </w:rPr>
        <w:t>求解计算</w:t>
      </w:r>
      <w:r>
        <w:tab/>
      </w:r>
      <w:r>
        <w:fldChar w:fldCharType="begin"/>
      </w:r>
      <w:r>
        <w:instrText xml:space="preserve"> PAGEREF _Toc30741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_Toc13489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_Toc13489 \h </w:instrText>
      </w:r>
      <w:r>
        <w:fldChar w:fldCharType="separate"/>
      </w:r>
      <w:r>
        <w:t>14</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_Toc24256 </w:instrText>
      </w:r>
      <w:r>
        <w:fldChar w:fldCharType="separate"/>
      </w:r>
      <w:r>
        <w:rPr>
          <w:rFonts w:hint="eastAsia"/>
        </w:rPr>
        <w:t>5 结果</w:t>
      </w:r>
      <w:r>
        <w:t>分析</w:t>
      </w:r>
      <w:r>
        <w:tab/>
      </w:r>
      <w:r>
        <w:fldChar w:fldCharType="begin"/>
      </w:r>
      <w:r>
        <w:instrText xml:space="preserve"> PAGEREF _Toc24256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_Toc22252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_Toc22252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_Toc28097 </w:instrText>
      </w:r>
      <w:r>
        <w:fldChar w:fldCharType="separate"/>
      </w:r>
      <w:r>
        <w:rPr>
          <w:rFonts w:hint="eastAsia"/>
          <w:lang w:val="en-GB"/>
        </w:rPr>
        <w:t xml:space="preserve">5.2 </w:t>
      </w:r>
      <w:r>
        <w:rPr>
          <w:rFonts w:hint="eastAsia"/>
        </w:rPr>
        <w:t>冬季工况</w:t>
      </w:r>
      <w:r>
        <w:tab/>
      </w:r>
      <w:r>
        <w:fldChar w:fldCharType="begin"/>
      </w:r>
      <w:r>
        <w:instrText xml:space="preserve"> PAGEREF _Toc28097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_Toc24937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_Toc24937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_Toc31590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_Toc31590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_Toc13886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_Toc13886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_Toc29757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_Toc29757 \h </w:instrText>
      </w:r>
      <w:r>
        <w:fldChar w:fldCharType="separate"/>
      </w:r>
      <w:r>
        <w:t>18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_Toc5080 </w:instrText>
      </w:r>
      <w:r>
        <w:fldChar w:fldCharType="separate"/>
      </w:r>
      <w:r>
        <w:rPr>
          <w:rFonts w:hint="eastAsia"/>
          <w:lang w:val="en-GB"/>
        </w:rPr>
        <w:t xml:space="preserve">5.3 </w:t>
      </w:r>
      <w:r>
        <w:rPr>
          <w:rFonts w:hint="eastAsia"/>
        </w:rPr>
        <w:t>夏季工况</w:t>
      </w:r>
      <w:r>
        <w:tab/>
      </w:r>
      <w:r>
        <w:fldChar w:fldCharType="begin"/>
      </w:r>
      <w:r>
        <w:instrText xml:space="preserve"> PAGEREF _Toc5080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_Toc30892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_Toc30892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_Toc19958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_Toc19958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_Toc5818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_Toc5818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_Toc9908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_Toc9908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_Toc11109 </w:instrText>
      </w:r>
      <w:r>
        <w:fldChar w:fldCharType="separate"/>
      </w:r>
      <w:r>
        <w:rPr>
          <w:rFonts w:hint="eastAsia"/>
          <w:lang w:val="en-GB"/>
        </w:rPr>
        <w:t xml:space="preserve">5.4 </w:t>
      </w:r>
      <w:r>
        <w:rPr>
          <w:rFonts w:hint="eastAsia"/>
        </w:rPr>
        <w:t>过渡季工况</w:t>
      </w:r>
      <w:r>
        <w:tab/>
      </w:r>
      <w:r>
        <w:fldChar w:fldCharType="begin"/>
      </w:r>
      <w:r>
        <w:instrText xml:space="preserve"> PAGEREF _Toc11109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_Toc25895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_Toc25895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_Toc28493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_Toc28493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_Toc15819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_Toc15819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_Toc4594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_Toc4594 \h </w:instrText>
      </w:r>
      <w:r>
        <w:fldChar w:fldCharType="separate"/>
      </w:r>
      <w:r>
        <w:t>25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_Toc835 </w:instrText>
      </w:r>
      <w:r>
        <w:fldChar w:fldCharType="separate"/>
      </w:r>
      <w:r>
        <w:rPr>
          <w:rFonts w:hint="eastAsia"/>
          <w:lang w:val="en-GB"/>
        </w:rPr>
        <w:t xml:space="preserve">5.5 </w:t>
      </w:r>
      <w:r>
        <w:rPr>
          <w:rFonts w:hint="eastAsia"/>
        </w:rPr>
        <w:t>结论</w:t>
      </w:r>
      <w:r>
        <w:tab/>
      </w:r>
      <w:r>
        <w:fldChar w:fldCharType="begin"/>
      </w:r>
      <w:r>
        <w:instrText xml:space="preserve"> PAGEREF _Toc835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_Toc8175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_Toc8175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_Toc2624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_Toc2624 \h </w:instrText>
      </w:r>
      <w:r>
        <w:fldChar w:fldCharType="separate"/>
      </w:r>
      <w:r>
        <w:t>27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_Toc5057 </w:instrText>
      </w:r>
      <w:r>
        <w:fldChar w:fldCharType="separate"/>
      </w:r>
      <w:r>
        <w:rPr>
          <w:rFonts w:hint="eastAsia"/>
          <w:lang w:val="en-GB"/>
        </w:rPr>
        <w:t xml:space="preserve">5.6 </w:t>
      </w:r>
      <w:r>
        <w:rPr>
          <w:rFonts w:hint="eastAsia"/>
        </w:rPr>
        <w:t>附录</w:t>
      </w:r>
      <w:r>
        <w:tab/>
      </w:r>
      <w:r>
        <w:fldChar w:fldCharType="begin"/>
      </w:r>
      <w:r>
        <w:instrText xml:space="preserve"> PAGEREF _Toc5057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_Toc16783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_Toc16783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_Toc11813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_Toc11813 \h </w:instrText>
      </w:r>
      <w:r>
        <w:fldChar w:fldCharType="separate"/>
      </w:r>
      <w:r>
        <w:t>28</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1" w:name="_Toc28901"/>
      <w:bookmarkStart w:id="12" w:name="_Toc452108759"/>
      <w:r>
        <w:rPr>
          <w:rFonts w:hint="eastAsia"/>
        </w:rPr>
        <w:t>项目概况</w:t>
      </w:r>
      <w:bookmarkEnd w:id="11"/>
    </w:p>
    <w:p>
      <w:pPr>
        <w:pStyle w:val="3"/>
        <w:ind w:firstLine="420"/>
        <w:rPr>
          <w:lang w:val="en-US"/>
        </w:rPr>
      </w:pPr>
      <w:bookmarkStart w:id="13"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12987"/>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1022"/>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149"/>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23455"/>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12862"/>
      <w:r>
        <w:rPr>
          <w:rFonts w:hint="eastAsia"/>
        </w:rPr>
        <w:t>计算原理</w:t>
      </w:r>
      <w:bookmarkEnd w:id="34"/>
    </w:p>
    <w:p>
      <w:pPr>
        <w:pStyle w:val="4"/>
        <w:numPr>
          <w:ilvl w:val="1"/>
          <w:numId w:val="3"/>
        </w:numPr>
      </w:pPr>
      <w:bookmarkStart w:id="35" w:name="_Toc509844740"/>
      <w:bookmarkStart w:id="36" w:name="_Toc10393"/>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季节1"/>
      <w:bookmarkStart w:id="40" w:name="_Toc660"/>
      <w:r>
        <w:rPr>
          <w:rFonts w:hint="eastAsia"/>
        </w:rPr>
        <w:t>冬季</w:t>
      </w:r>
      <w:bookmarkEnd w:id="39"/>
      <w:r>
        <w:rPr>
          <w:rFonts w:hint="eastAsia"/>
        </w:rPr>
        <w:t>工况风场计算域</w:t>
      </w:r>
      <w:bookmarkEnd w:id="4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320</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267</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107</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31347"/>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107</w:t>
            </w:r>
          </w:p>
        </w:tc>
      </w:tr>
    </w:tbl>
    <w:p>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8" w:name="_Toc2709"/>
      <w:r>
        <w:rPr>
          <w:rFonts w:hint="eastAsia"/>
        </w:rPr>
        <w:t>过渡季工况风场计算域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107</w:t>
            </w:r>
          </w:p>
        </w:tc>
      </w:tr>
    </w:tbl>
    <w:p>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9" w:name="计算域"/>
      <w:bookmarkEnd w:id="49"/>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0" w:name="_Toc5987"/>
      <w:bookmarkStart w:id="51" w:name="_Toc509844741"/>
      <w:r>
        <w:rPr>
          <w:rFonts w:hint="eastAsia"/>
        </w:rPr>
        <w:t>网格划分</w:t>
      </w:r>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3" w:name="冬季网格总数"/>
            <w:r>
              <w:t>126842</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分弧精度"/>
            <w:r>
              <w:t>0.24</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最大网格尺寸"/>
            <w:r>
              <w:t>16.0</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最小网格尺寸"/>
            <w:r>
              <w:t>4.0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建筑表面细分层厚度"/>
            <w:r>
              <w:t>4.0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远场网格尺寸"/>
            <w:r>
              <w:t>8.0</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近场网格尺寸"/>
            <w:r>
              <w:t>4.0</w:t>
            </w:r>
            <w:bookmarkEnd w:id="59"/>
          </w:p>
        </w:tc>
      </w:tr>
    </w:tbl>
    <w:p>
      <w:pPr>
        <w:rPr>
          <w:szCs w:val="21"/>
          <w:lang w:val="en-US"/>
        </w:rPr>
      </w:pPr>
    </w:p>
    <w:p>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122210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122210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9"/>
          </w:p>
        </w:tc>
      </w:tr>
      <w:tr>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pPr>
        <w:pStyle w:val="3"/>
        <w:ind w:firstLine="0" w:firstLineChars="0"/>
        <w:rPr>
          <w:rFonts w:ascii="黑体" w:hAnsi="黑体" w:eastAsia="黑体"/>
          <w:szCs w:val="20"/>
          <w:lang w:val="en-US"/>
        </w:rPr>
      </w:pPr>
    </w:p>
    <w:p>
      <w:pPr>
        <w:pStyle w:val="4"/>
        <w:numPr>
          <w:ilvl w:val="1"/>
          <w:numId w:val="3"/>
        </w:numPr>
      </w:pPr>
      <w:bookmarkStart w:id="63" w:name="_Toc509844742"/>
      <w:bookmarkStart w:id="64" w:name="_Toc3080"/>
      <w:r>
        <w:rPr>
          <w:rFonts w:hint="eastAsia"/>
        </w:rPr>
        <w:t>边界条件</w:t>
      </w:r>
      <w:bookmarkEnd w:id="63"/>
      <w:bookmarkEnd w:id="6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5" w:name="_Toc509844743"/>
      <w:bookmarkStart w:id="66" w:name="_Toc9430"/>
      <w:r>
        <w:rPr>
          <w:rFonts w:hint="eastAsia"/>
        </w:rPr>
        <w:t>入口与出口边界条件</w:t>
      </w:r>
      <w:bookmarkEnd w:id="65"/>
      <w:bookmarkEnd w:id="6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8" w:name="_Toc24169"/>
      <w:bookmarkStart w:id="69" w:name="_Toc509844744"/>
      <w:r>
        <w:rPr>
          <w:rFonts w:hint="eastAsia"/>
        </w:rPr>
        <w:t>壁面边界条件</w:t>
      </w:r>
      <w:bookmarkEnd w:id="68"/>
      <w:bookmarkEnd w:id="6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0" w:name="_Toc11565"/>
      <w:r>
        <w:rPr>
          <w:rFonts w:hint="eastAsia"/>
        </w:rPr>
        <w:t>湍流模型</w:t>
      </w:r>
      <w:bookmarkEnd w:id="37"/>
      <w:bookmarkEnd w:id="38"/>
      <w:bookmarkEnd w:id="7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1" w:name="_Toc451698939"/>
      <w:bookmarkStart w:id="72" w:name="_Toc452108767"/>
      <w:bookmarkStart w:id="73" w:name="_Toc30741"/>
      <w:r>
        <w:rPr>
          <w:rFonts w:hint="eastAsia"/>
        </w:rPr>
        <w:t>求解计算</w:t>
      </w:r>
      <w:bookmarkEnd w:id="71"/>
      <w:bookmarkEnd w:id="72"/>
      <w:bookmarkEnd w:id="73"/>
    </w:p>
    <w:p>
      <w:pPr>
        <w:pStyle w:val="3"/>
        <w:numPr>
          <w:ilvl w:val="0"/>
          <w:numId w:val="5"/>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5"/>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76" w:name="_Toc509844747"/>
      <w:bookmarkStart w:id="77" w:name="_Toc13489"/>
      <w:r>
        <w:rPr>
          <w:rFonts w:hint="eastAsia"/>
        </w:rPr>
        <w:t>风速放大系数计算</w:t>
      </w:r>
      <w:bookmarkEnd w:id="76"/>
      <w:bookmarkEnd w:id="7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9" w:name="_Toc452108768"/>
      <w:bookmarkStart w:id="80" w:name="_Toc24256"/>
      <w:r>
        <w:rPr>
          <w:rFonts w:hint="eastAsia"/>
        </w:rPr>
        <w:t>结果</w:t>
      </w:r>
      <w:r>
        <w:t>分析</w:t>
      </w:r>
      <w:bookmarkEnd w:id="79"/>
      <w:bookmarkEnd w:id="80"/>
    </w:p>
    <w:p>
      <w:pPr>
        <w:pStyle w:val="4"/>
        <w:rPr>
          <w:szCs w:val="21"/>
        </w:rPr>
      </w:pPr>
      <w:bookmarkStart w:id="81" w:name="_Toc22252"/>
      <w:r>
        <w:rPr>
          <w:rFonts w:hint="eastAsia"/>
          <w:szCs w:val="21"/>
        </w:rPr>
        <w:t>工况</w:t>
      </w:r>
      <w:r>
        <w:rPr>
          <w:szCs w:val="21"/>
        </w:rPr>
        <w:t>表</w:t>
      </w:r>
      <w:bookmarkEnd w:id="8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1.10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1.10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8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3" w:name="_Toc509844750"/>
      <w:bookmarkStart w:id="84" w:name="_Toc28097"/>
      <w:r>
        <w:rPr>
          <w:rFonts w:hint="eastAsia"/>
        </w:rPr>
        <w:t>冬季工况</w:t>
      </w:r>
      <w:bookmarkEnd w:id="83"/>
      <w:bookmarkEnd w:id="84"/>
    </w:p>
    <w:p>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1.60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pPr>
        <w:pStyle w:val="5"/>
      </w:pPr>
      <w:bookmarkStart w:id="87" w:name="_Toc509844751"/>
      <w:bookmarkStart w:id="88" w:name="_Toc24937"/>
      <w:r>
        <w:rPr>
          <w:rFonts w:hint="eastAsia"/>
        </w:rPr>
        <w:t>风速达标分析</w:t>
      </w:r>
      <w:bookmarkEnd w:id="87"/>
      <w:bookmarkEnd w:id="88"/>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未标示出超标区域，可知人行区域风速为最大值为0.96m/s，小于5m/s，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324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3242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1" w:name="_Toc509844752"/>
      <w:bookmarkStart w:id="92" w:name="_Toc31590"/>
      <w:r>
        <w:rPr>
          <w:rFonts w:hint="eastAsia"/>
        </w:rPr>
        <w:t>风速放大系数达标分析</w:t>
      </w:r>
      <w:bookmarkEnd w:id="91"/>
      <w:bookmarkEnd w:id="92"/>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图中未标示出风速放大系数超标区域，因此可知人行区域风速放大系数最大值为1.02，小于2，</w:t>
      </w:r>
      <w:r>
        <w:rPr>
          <w:color w:val="0000FF"/>
          <w:lang w:val="en-US"/>
        </w:rPr>
        <w:t>满足</w:t>
      </w:r>
      <w:r>
        <w:rPr>
          <w:lang w:val="en-US"/>
        </w:rPr>
        <w:t>绿标要求。</w:t>
      </w:r>
    </w:p>
    <w:p>
      <w:pPr>
        <w:jc w:val="center"/>
      </w:pPr>
      <w:bookmarkStart w:id="94" w:name="冬季工况人行区风速放大系数云图"/>
      <w:bookmarkEnd w:id="94"/>
      <w:r>
        <w:drawing>
          <wp:inline distT="0" distB="0" distL="0" distR="0">
            <wp:extent cx="5667375" cy="3324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24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5"/>
      <w:bookmarkEnd w:id="95"/>
      <w:bookmarkStart w:id="96" w:name="_Toc509844756"/>
      <w:bookmarkEnd w:id="96"/>
      <w:bookmarkStart w:id="97" w:name="_Toc509844757"/>
      <w:bookmarkEnd w:id="97"/>
      <w:bookmarkStart w:id="98" w:name="_Toc509844754"/>
      <w:bookmarkEnd w:id="98"/>
    </w:p>
    <w:p>
      <w:pPr>
        <w:pStyle w:val="3"/>
        <w:ind w:firstLine="420"/>
        <w:rPr>
          <w:lang w:val="en-US"/>
        </w:rPr>
      </w:pPr>
    </w:p>
    <w:p>
      <w:pPr>
        <w:pStyle w:val="5"/>
      </w:pPr>
      <w:bookmarkStart w:id="99" w:name="_Toc509844753"/>
      <w:bookmarkStart w:id="100" w:name="_Toc13886"/>
      <w:r>
        <w:rPr>
          <w:rFonts w:hint="eastAsia"/>
        </w:rPr>
        <w:t>冬季工况风速/风速放大系数达标</w:t>
      </w:r>
      <w:bookmarkEnd w:id="99"/>
      <w:r>
        <w:rPr>
          <w:rFonts w:hint="eastAsia"/>
        </w:rPr>
        <w:t>结果汇总</w:t>
      </w:r>
      <w:bookmarkEnd w:id="100"/>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p>
      <w:pPr>
        <w:pStyle w:val="5"/>
      </w:pPr>
      <w:bookmarkStart w:id="105" w:name="_Toc29757"/>
      <w:r>
        <w:rPr>
          <w:rFonts w:hint="eastAsia"/>
        </w:rPr>
        <w:t>建筑迎风面和背风面风压分析</w:t>
      </w:r>
      <w:bookmarkEnd w:id="13"/>
      <w:bookmarkEnd w:id="105"/>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6" w:name="冬季工况建筑迎风面风压云图"/>
      <w:bookmarkEnd w:id="106"/>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7" w:name="冬季工况建筑背风面风压云图"/>
      <w:bookmarkEnd w:id="107"/>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jc w:val="center"/>
        <w:rPr>
          <w:rFonts w:ascii="Cambria" w:hAnsi="Cambria" w:eastAsia="黑体"/>
          <w:sz w:val="20"/>
        </w:rPr>
      </w:pPr>
      <w:bookmarkStart w:id="108" w:name="建筑迎背风面风压差表_新增"/>
      <w:bookmarkEnd w:id="108"/>
      <w:bookmarkStart w:id="109" w:name="建筑迎背风面风压差表"/>
    </w:p>
    <w:bookmarkEnd w:id="109"/>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云栖绿廊OK</w:t>
            </w:r>
          </w:p>
        </w:tc>
        <w:tc>
          <w:tcPr>
            <w:tcW w:w="1276" w:type="dxa"/>
            <w:shd w:val="clear" w:color="auto" w:fill="auto"/>
            <w:vAlign w:val="center"/>
          </w:tcPr>
          <w:p>
            <w:pPr>
              <w:jc w:val="center"/>
              <w:rPr>
                <w:lang w:val="en-US"/>
              </w:rPr>
            </w:pPr>
            <w:r>
              <w:rPr>
                <w:lang w:val="en-US"/>
              </w:rPr>
              <w:t>0.02</w:t>
            </w:r>
          </w:p>
        </w:tc>
        <w:tc>
          <w:tcPr>
            <w:tcW w:w="1276" w:type="dxa"/>
            <w:shd w:val="clear" w:color="auto" w:fill="auto"/>
            <w:vAlign w:val="center"/>
          </w:tcPr>
          <w:p>
            <w:pPr>
              <w:jc w:val="center"/>
              <w:rPr>
                <w:lang w:val="en-US"/>
              </w:rPr>
            </w:pPr>
            <w:r>
              <w:rPr>
                <w:lang w:val="en-US"/>
              </w:rPr>
              <w:t>-0.27</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bookmarkEnd w:id="110"/>
    </w:tbl>
    <w:p>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2" w:name="冬季工况"/>
      <w:bookmarkEnd w:id="112"/>
      <w:r>
        <w:rPr>
          <w:rFonts w:hint="eastAsia"/>
          <w:lang w:val="en-US"/>
        </w:rPr>
        <w:t xml:space="preserve"> </w:t>
      </w:r>
    </w:p>
    <w:p>
      <w:pPr>
        <w:pStyle w:val="4"/>
      </w:pPr>
      <w:bookmarkStart w:id="113" w:name="_Toc509844759"/>
      <w:bookmarkStart w:id="114" w:name="_Toc5080"/>
      <w:r>
        <w:rPr>
          <w:rFonts w:hint="eastAsia"/>
        </w:rPr>
        <w:t>夏季工况</w:t>
      </w:r>
      <w:bookmarkEnd w:id="113"/>
      <w:bookmarkEnd w:id="114"/>
    </w:p>
    <w:p>
      <w:pPr>
        <w:pStyle w:val="3"/>
        <w:ind w:firstLine="420"/>
      </w:pPr>
      <w:r>
        <w:rPr>
          <w:rFonts w:hint="eastAsia"/>
          <w:lang w:val="en-US"/>
        </w:rPr>
        <w:t>本项目夏季工况的入口边界风速为</w:t>
      </w:r>
      <w:bookmarkStart w:id="115" w:name="入口边界风速"/>
      <w:r>
        <w:rPr>
          <w:rFonts w:hint="eastAsia"/>
          <w:lang w:val="en-US"/>
        </w:rPr>
        <w:t>1.10</w:t>
      </w:r>
      <w:bookmarkEnd w:id="115"/>
      <w:r>
        <w:rPr>
          <w:rFonts w:hint="eastAsia"/>
          <w:lang w:val="en-US"/>
        </w:rPr>
        <w:t>m/s，风向为</w:t>
      </w:r>
      <w:bookmarkStart w:id="116" w:name="入口边界风向"/>
      <w:r>
        <w:t>ENE</w:t>
      </w:r>
      <w:bookmarkEnd w:id="116"/>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19" w:name="_Toc30892"/>
      <w:bookmarkStart w:id="120" w:name="_Toc509844760"/>
      <w:r>
        <w:rPr>
          <w:rFonts w:hint="eastAsia"/>
        </w:rPr>
        <w:t>无风区计算分析</w:t>
      </w:r>
      <w:bookmarkEnd w:id="119"/>
      <w:bookmarkEnd w:id="120"/>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22" w:name="人行区风速云图"/>
      <w:bookmarkEnd w:id="122"/>
      <w:r>
        <w:drawing>
          <wp:inline distT="0" distB="0" distL="0" distR="0">
            <wp:extent cx="5667375" cy="3324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324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23" w:name="_Toc509844761"/>
      <w:bookmarkStart w:id="124" w:name="_Toc19958"/>
      <w:r>
        <w:rPr>
          <w:rFonts w:hint="eastAsia"/>
        </w:rPr>
        <w:t>旋涡区分析</w:t>
      </w:r>
      <w:bookmarkEnd w:id="123"/>
      <w:bookmarkEnd w:id="124"/>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25" w:name="人行区风速矢量图"/>
      <w:bookmarkEnd w:id="125"/>
      <w:r>
        <w:drawing>
          <wp:inline distT="0" distB="0" distL="0" distR="0">
            <wp:extent cx="5667375" cy="3333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337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26" w:name="_Toc509844762"/>
      <w:bookmarkStart w:id="127" w:name="_Toc5818"/>
      <w:r>
        <w:rPr>
          <w:rFonts w:hint="eastAsia"/>
        </w:rPr>
        <w:t>旋涡区/无风区达标</w:t>
      </w:r>
      <w:bookmarkEnd w:id="126"/>
      <w:r>
        <w:rPr>
          <w:rFonts w:hint="eastAsia"/>
        </w:rPr>
        <w:t>结果汇总</w:t>
      </w:r>
      <w:bookmarkEnd w:id="12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FF0000"/>
                <w:sz w:val="22"/>
                <w:szCs w:val="22"/>
                <w:lang w:val="en-US"/>
              </w:rPr>
              <w:t>是</w:t>
            </w:r>
            <w:bookmarkEnd w:id="12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FF0000"/>
                <w:sz w:val="22"/>
                <w:szCs w:val="22"/>
                <w:lang w:val="en-US"/>
              </w:rPr>
              <w:t>否</w:t>
            </w:r>
            <w:bookmarkEnd w:id="130"/>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pPr>
        <w:pStyle w:val="5"/>
      </w:pPr>
      <w:bookmarkStart w:id="133" w:name="_Toc504501018"/>
      <w:bookmarkStart w:id="134" w:name="_Toc9908"/>
      <w:bookmarkStart w:id="135" w:name="_Toc509844763"/>
      <w:r>
        <w:rPr>
          <w:rFonts w:hint="eastAsia"/>
        </w:rPr>
        <w:t>外窗内外表面风压</w:t>
      </w:r>
      <w:bookmarkEnd w:id="133"/>
      <w:r>
        <w:rPr>
          <w:rFonts w:hint="eastAsia"/>
        </w:rPr>
        <w:t>差达标分析</w:t>
      </w:r>
      <w:bookmarkEnd w:id="134"/>
      <w:bookmarkEnd w:id="135"/>
    </w:p>
    <w:p>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37" w:name="迎风面风压云图"/>
      <w:bookmarkEnd w:id="137"/>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pPr>
        <w:jc w:val="center"/>
      </w:pPr>
      <w:bookmarkStart w:id="139" w:name="背风面风压云图"/>
      <w:bookmarkEnd w:id="139"/>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云栖绿廊OK</w:t>
            </w:r>
          </w:p>
        </w:tc>
        <w:tc>
          <w:tcPr>
            <w:tcW w:w="1134" w:type="dxa"/>
            <w:shd w:val="clear" w:color="auto" w:fill="auto"/>
            <w:vAlign w:val="center"/>
          </w:tcPr>
          <w:p>
            <w:pPr>
              <w:jc w:val="center"/>
              <w:rPr>
                <w:lang w:val="en-US"/>
              </w:rPr>
            </w:pPr>
            <w:r>
              <w:rPr>
                <w:lang w:val="en-US"/>
              </w:rPr>
              <w:t>83</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color w:val="FF0000"/>
                <w:lang w:val="en-US"/>
              </w:rPr>
              <w:t>否</w:t>
            </w:r>
          </w:p>
        </w:tc>
      </w:tr>
      <w:bookmarkEnd w:id="141"/>
    </w:tbl>
    <w:p>
      <w:r>
        <w:rPr>
          <w:rFonts w:hint="eastAsia"/>
          <w:lang w:val="en-US"/>
        </w:rPr>
        <w:t>说明：达标比例＝（室内外风压差大于0.5Pa的总数/可开启外窗总数）*100％</w:t>
      </w:r>
    </w:p>
    <w:p>
      <w:pPr>
        <w:rPr>
          <w:lang w:val="en-US"/>
        </w:rPr>
      </w:pPr>
    </w:p>
    <w:p/>
    <w:p>
      <w:pPr>
        <w:rPr>
          <w:lang w:val="en-US"/>
        </w:rPr>
      </w:pPr>
      <w:bookmarkStart w:id="142" w:name="建筑室内外风压差达标判定结论"/>
      <w:r>
        <w:rPr>
          <w:rFonts w:hint="eastAsia"/>
          <w:lang w:val="en-US"/>
        </w:rPr>
        <w:t>结论：本项目中所有建筑均未满足“50%以上可开启外窗室内外表面的风压差大于0.5Pa”的要求，该条不得分。</w:t>
      </w:r>
      <w:bookmarkEnd w:id="142"/>
      <w:r>
        <w:rPr>
          <w:rFonts w:hint="eastAsia"/>
          <w:lang w:val="en-US"/>
        </w:rPr>
        <w:t xml:space="preserve"> </w:t>
      </w:r>
    </w:p>
    <w:p>
      <w:pPr>
        <w:pStyle w:val="4"/>
      </w:pPr>
      <w:bookmarkStart w:id="143" w:name="_Toc11109"/>
      <w:r>
        <w:rPr>
          <w:rFonts w:hint="eastAsia"/>
        </w:rPr>
        <w:t>过渡季工况</w:t>
      </w:r>
      <w:bookmarkEnd w:id="143"/>
    </w:p>
    <w:p>
      <w:pPr>
        <w:pStyle w:val="3"/>
        <w:ind w:firstLine="420"/>
      </w:pPr>
      <w:r>
        <w:rPr>
          <w:rFonts w:hint="eastAsia"/>
          <w:lang w:val="en-US"/>
        </w:rPr>
        <w:t>本项目过渡季</w:t>
      </w:r>
      <w:bookmarkEnd w:id="2"/>
      <w:r>
        <w:rPr>
          <w:rFonts w:hint="eastAsia"/>
          <w:lang w:val="en-US"/>
        </w:rPr>
        <w:t>工况的入口边界风速为1.10</w:t>
      </w:r>
      <w:bookmarkEnd w:id="3"/>
      <w:r>
        <w:rPr>
          <w:rFonts w:hint="eastAsia"/>
          <w:lang w:val="en-US"/>
        </w:rPr>
        <w:t>m/s，风向为</w:t>
      </w:r>
      <w:r>
        <w:t>ENE</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44" w:name="_Toc25895"/>
      <w:r>
        <w:rPr>
          <w:rFonts w:hint="eastAsia"/>
        </w:rPr>
        <w:t>无风区计算分析</w:t>
      </w:r>
      <w:bookmarkEnd w:id="8"/>
      <w:bookmarkEnd w:id="144"/>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324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324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45" w:name="_Toc28493"/>
      <w:r>
        <w:rPr>
          <w:rFonts w:hint="eastAsia"/>
        </w:rPr>
        <w:t>旋涡区分析</w:t>
      </w:r>
      <w:bookmarkEnd w:id="10"/>
      <w:bookmarkEnd w:id="145"/>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333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3337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46" w:name="_Toc15819"/>
      <w:r>
        <w:rPr>
          <w:rFonts w:hint="eastAsia"/>
        </w:rPr>
        <w:t>旋涡区/无风区达标</w:t>
      </w:r>
      <w:bookmarkEnd w:id="12"/>
      <w:r>
        <w:rPr>
          <w:rFonts w:hint="eastAsia"/>
        </w:rPr>
        <w:t>结果汇总</w:t>
      </w:r>
      <w:bookmarkEnd w:id="14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8"/>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pPr>
        <w:pStyle w:val="5"/>
      </w:pPr>
      <w:bookmarkStart w:id="147" w:name="_Toc4594"/>
      <w:r>
        <w:rPr>
          <w:rFonts w:hint="eastAsia"/>
        </w:rPr>
        <w:t>外窗内外表面风压</w:t>
      </w:r>
      <w:bookmarkEnd w:id="22"/>
      <w:r>
        <w:rPr>
          <w:rFonts w:hint="eastAsia"/>
        </w:rPr>
        <w:t>差达标分析</w:t>
      </w:r>
      <w:bookmarkEnd w:id="23"/>
      <w:bookmarkEnd w:id="147"/>
    </w:p>
    <w:p>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pPr>
        <w:pStyle w:val="3"/>
        <w:ind w:firstLine="0" w:firstLineChars="0"/>
        <w:jc w:val="center"/>
      </w:pPr>
      <w:r>
        <w:drawing>
          <wp:inline distT="0" distB="0" distL="0" distR="0">
            <wp:extent cx="5667375" cy="3286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pPr>
        <w:jc w:val="center"/>
      </w:pPr>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295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云栖绿廊OK</w:t>
            </w:r>
          </w:p>
        </w:tc>
        <w:tc>
          <w:tcPr>
            <w:tcW w:w="1134" w:type="dxa"/>
            <w:shd w:val="clear" w:color="auto" w:fill="auto"/>
            <w:vAlign w:val="center"/>
          </w:tcPr>
          <w:p>
            <w:pPr>
              <w:jc w:val="center"/>
              <w:rPr>
                <w:lang w:val="en-US"/>
              </w:rPr>
            </w:pPr>
            <w:r>
              <w:rPr>
                <w:lang w:val="en-US"/>
              </w:rPr>
              <w:t>83</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color w:val="FF0000"/>
                <w:lang w:val="en-US"/>
              </w:rPr>
              <w:t>否</w:t>
            </w:r>
          </w:p>
        </w:tc>
      </w:tr>
    </w:tbl>
    <w:p>
      <w:r>
        <w:rPr>
          <w:rFonts w:hint="eastAsia"/>
          <w:lang w:val="en-US"/>
        </w:rPr>
        <w:t>说明：达标比例＝（室内外风压差大于0.5Pa的总数/可开启外窗总数）*100％</w:t>
      </w:r>
    </w:p>
    <w:bookmarkEnd w:id="30"/>
    <w:p>
      <w:pPr>
        <w:rPr>
          <w:lang w:val="en-US"/>
        </w:rPr>
      </w:pPr>
    </w:p>
    <w:p/>
    <w:p>
      <w:pPr>
        <w:rPr>
          <w:lang w:val="en-US"/>
        </w:rPr>
      </w:pPr>
      <w:r>
        <w:rPr>
          <w:rFonts w:hint="eastAsia"/>
          <w:lang w:val="en-US"/>
        </w:rPr>
        <w:t>结论：本项目中所有建筑均未满足“50%以上可开启外窗室内外表面的风压差大于0.5Pa”的要求，该条不得分。</w:t>
      </w:r>
      <w:bookmarkEnd w:id="32"/>
      <w:r>
        <w:rPr>
          <w:rFonts w:hint="eastAsia"/>
          <w:lang w:val="en-US"/>
        </w:rPr>
        <w:t xml:space="preserve"> </w:t>
      </w:r>
    </w:p>
    <w:p>
      <w:pPr>
        <w:rPr>
          <w:lang w:val="en-US"/>
        </w:rPr>
      </w:pPr>
      <w:bookmarkStart w:id="148" w:name="其他工况"/>
      <w:bookmarkEnd w:id="148"/>
      <w:r>
        <w:rPr>
          <w:rFonts w:hint="eastAsia"/>
          <w:lang w:val="en-US"/>
        </w:rPr>
        <w:t xml:space="preserve"> </w:t>
      </w:r>
    </w:p>
    <w:p>
      <w:pPr>
        <w:pStyle w:val="4"/>
      </w:pPr>
      <w:bookmarkStart w:id="149" w:name="_Toc509844764"/>
      <w:bookmarkStart w:id="150" w:name="_Toc835"/>
      <w:r>
        <w:rPr>
          <w:rFonts w:hint="eastAsia"/>
        </w:rPr>
        <w:t>结论</w:t>
      </w:r>
      <w:bookmarkEnd w:id="149"/>
      <w:bookmarkEnd w:id="150"/>
    </w:p>
    <w:p>
      <w:pPr>
        <w:pStyle w:val="5"/>
      </w:pPr>
      <w:bookmarkStart w:id="151" w:name="_Toc509844765"/>
      <w:bookmarkStart w:id="152" w:name="_Toc8175"/>
      <w:r>
        <w:rPr>
          <w:rFonts w:hint="eastAsia"/>
        </w:rPr>
        <w:t>冬季工况达标判断</w:t>
      </w:r>
      <w:bookmarkEnd w:id="151"/>
      <w:bookmarkEnd w:id="152"/>
      <w:bookmarkStart w:id="153" w:name="_Toc509844766"/>
      <w:bookmarkEnd w:id="15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pPr>
              <w:jc w:val="center"/>
              <w:rPr>
                <w:lang w:val="en-US"/>
              </w:rPr>
            </w:pPr>
            <w:bookmarkStart w:id="157" w:name="冬季风速得分"/>
            <w:r>
              <w:rPr>
                <w:rFonts w:hint="eastAsia"/>
                <w:lang w:val="en-US"/>
              </w:rPr>
              <w:t>3</w:t>
            </w:r>
            <w:bookmarkEnd w:id="15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pPr>
              <w:jc w:val="center"/>
              <w:rPr>
                <w:lang w:val="en-US"/>
              </w:rPr>
            </w:pPr>
            <w:bookmarkStart w:id="162" w:name="冬季迎背风面得分"/>
            <w:r>
              <w:rPr>
                <w:rFonts w:hint="eastAsia"/>
                <w:lang w:val="en-US"/>
              </w:rPr>
              <w:t>2</w:t>
            </w:r>
            <w:bookmarkEnd w:id="162"/>
            <w:r>
              <w:rPr>
                <w:rFonts w:hint="eastAsia"/>
                <w:lang w:val="en-US"/>
              </w:rPr>
              <w:t>分</w:t>
            </w:r>
          </w:p>
        </w:tc>
      </w:tr>
    </w:tbl>
    <w:p>
      <w:pPr>
        <w:rPr>
          <w:szCs w:val="21"/>
          <w:lang w:val="en-US"/>
        </w:rPr>
      </w:pPr>
      <w:bookmarkStart w:id="163" w:name="_Toc509844768"/>
      <w:bookmarkEnd w:id="163"/>
      <w:bookmarkStart w:id="164" w:name="_Toc509844767"/>
      <w:bookmarkEnd w:id="164"/>
    </w:p>
    <w:bookmarkEnd w:id="1"/>
    <w:p>
      <w:pPr>
        <w:pStyle w:val="5"/>
      </w:pPr>
      <w:bookmarkStart w:id="165" w:name="_Toc509844769"/>
      <w:bookmarkStart w:id="166" w:name="_Toc2624"/>
      <w:r>
        <w:rPr>
          <w:rFonts w:hint="eastAsia"/>
        </w:rPr>
        <w:t>过渡季、夏季工况达标判断</w:t>
      </w:r>
      <w:bookmarkEnd w:id="165"/>
      <w:bookmarkEnd w:id="16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8" w:name="夏季无风区结果计算域"/>
            <w:r>
              <w:rPr>
                <w:rFonts w:hint="eastAsia"/>
                <w:color w:val="FF0000"/>
                <w:lang w:val="en-US"/>
              </w:rPr>
              <w:t>有</w:t>
            </w:r>
            <w:bookmarkEnd w:id="168"/>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69" w:name="夏季无风区达标判定"/>
            <w:r>
              <w:rPr>
                <w:rFonts w:hint="eastAsia"/>
                <w:b/>
                <w:color w:val="FF0000"/>
                <w:lang w:val="en-US"/>
              </w:rPr>
              <w:t>不达标</w:t>
            </w:r>
            <w:bookmarkEnd w:id="169"/>
          </w:p>
        </w:tc>
        <w:tc>
          <w:tcPr>
            <w:tcW w:w="1416" w:type="dxa"/>
            <w:vMerge w:val="restart"/>
            <w:tcBorders>
              <w:top w:val="single" w:color="auto" w:sz="4" w:space="0"/>
            </w:tcBorders>
            <w:shd w:val="clear" w:color="auto" w:fill="auto"/>
            <w:vAlign w:val="center"/>
          </w:tcPr>
          <w:p>
            <w:pPr>
              <w:jc w:val="center"/>
              <w:rPr>
                <w:lang w:val="en-US"/>
              </w:rPr>
            </w:pPr>
            <w:bookmarkStart w:id="170" w:name="夏季无风区得分"/>
            <w:r>
              <w:rPr>
                <w:rFonts w:hint="eastAsia"/>
                <w:lang w:val="en-US"/>
              </w:rPr>
              <w:t>0</w:t>
            </w:r>
            <w:bookmarkEnd w:id="170"/>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2" w:name="夏季窗内外风压差结果"/>
            <w:r>
              <w:rPr>
                <w:rFonts w:hint="eastAsia"/>
                <w:color w:val="FF0000"/>
                <w:lang w:val="en-US"/>
              </w:rPr>
              <w:t>不满足</w:t>
            </w:r>
            <w:bookmarkEnd w:id="172"/>
            <w:r>
              <w:rPr>
                <w:rFonts w:hint="eastAsia"/>
                <w:lang w:val="en-US"/>
              </w:rPr>
              <w:t>标准要求</w:t>
            </w:r>
          </w:p>
        </w:tc>
        <w:tc>
          <w:tcPr>
            <w:tcW w:w="1985" w:type="dxa"/>
            <w:shd w:val="clear" w:color="auto" w:fill="auto"/>
            <w:vAlign w:val="center"/>
          </w:tcPr>
          <w:p>
            <w:pPr>
              <w:jc w:val="center"/>
              <w:rPr>
                <w:b/>
                <w:lang w:val="en-US"/>
              </w:rPr>
            </w:pPr>
            <w:bookmarkStart w:id="173" w:name="夏季窗内外风压差达标判定"/>
            <w:r>
              <w:rPr>
                <w:rFonts w:hint="eastAsia"/>
                <w:b/>
                <w:color w:val="FF0000"/>
                <w:lang w:val="en-US"/>
              </w:rPr>
              <w:t>不达标</w:t>
            </w:r>
            <w:bookmarkEnd w:id="173"/>
          </w:p>
        </w:tc>
        <w:tc>
          <w:tcPr>
            <w:tcW w:w="1416" w:type="dxa"/>
            <w:shd w:val="clear" w:color="auto" w:fill="auto"/>
            <w:vAlign w:val="center"/>
          </w:tcPr>
          <w:p>
            <w:pPr>
              <w:jc w:val="center"/>
              <w:rPr>
                <w:lang w:val="en-US"/>
              </w:rPr>
            </w:pPr>
            <w:bookmarkStart w:id="174" w:name="夏季窗内外风压差得分"/>
            <w:r>
              <w:rPr>
                <w:rFonts w:hint="eastAsia"/>
                <w:lang w:val="en-US"/>
              </w:rPr>
              <w:t>0</w:t>
            </w:r>
            <w:bookmarkEnd w:id="174"/>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5</w:t>
      </w:r>
      <w:bookmarkEnd w:id="175"/>
      <w:r>
        <w:rPr>
          <w:rFonts w:hint="eastAsia"/>
          <w:lang w:val="en-US"/>
        </w:rPr>
        <w:t>分。</w:t>
      </w:r>
    </w:p>
    <w:p>
      <w:pPr>
        <w:pStyle w:val="4"/>
      </w:pPr>
      <w:bookmarkStart w:id="176" w:name="_Toc5057"/>
      <w:bookmarkStart w:id="177" w:name="附录"/>
      <w:r>
        <w:rPr>
          <w:rFonts w:hint="eastAsia"/>
        </w:rPr>
        <w:t>附录</w:t>
      </w:r>
      <w:bookmarkEnd w:id="176"/>
    </w:p>
    <w:p>
      <w:pPr>
        <w:pStyle w:val="5"/>
      </w:pPr>
      <w:bookmarkStart w:id="178" w:name="_Toc16783"/>
      <w:r>
        <w:rPr>
          <w:rFonts w:hint="eastAsia"/>
        </w:rPr>
        <w:t>参评建筑迎背风面窗平均风压差表</w:t>
      </w:r>
      <w:bookmarkEnd w:id="178"/>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9" w:name="建筑迎背风面风压差表_建筑名"/>
      <w:r>
        <w:rPr>
          <w:rFonts w:ascii="Cambria" w:hAnsi="Cambria" w:eastAsia="黑体"/>
          <w:sz w:val="20"/>
        </w:rPr>
        <w:t>云栖绿廊OK</w:t>
      </w:r>
      <w:bookmarkEnd w:id="17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0层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0.29</w:t>
            </w:r>
          </w:p>
        </w:tc>
      </w:tr>
      <w:bookmarkEnd w:id="0"/>
    </w:tbl>
    <w:p>
      <w:bookmarkStart w:id="180" w:name="结论"/>
      <w:bookmarkEnd w:id="180"/>
    </w:p>
    <w:p>
      <w:pPr>
        <w:pStyle w:val="3"/>
        <w:ind w:firstLine="420"/>
        <w:rPr>
          <w:lang w:val="en-US"/>
        </w:rPr>
      </w:pPr>
      <w:bookmarkStart w:id="181" w:name="迎风建筑信息参评"/>
      <w:bookmarkEnd w:id="181"/>
    </w:p>
    <w:p>
      <w:pPr>
        <w:pStyle w:val="5"/>
      </w:pPr>
      <w:bookmarkStart w:id="182" w:name="_Toc11813"/>
      <w:r>
        <w:rPr>
          <w:rFonts w:hint="eastAsia"/>
        </w:rPr>
        <w:t>不参评建筑迎背风面窗平均风压差表</w:t>
      </w:r>
      <w:bookmarkEnd w:id="182"/>
    </w:p>
    <w:p>
      <w:pPr>
        <w:pStyle w:val="3"/>
        <w:ind w:firstLine="420"/>
        <w:rPr>
          <w:lang w:val="en-US"/>
        </w:rPr>
      </w:pPr>
      <w:bookmarkStart w:id="183" w:name="迎风建筑信息不参评"/>
      <w:bookmarkEnd w:id="183"/>
    </w:p>
    <w:bookmarkEnd w:id="177"/>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wOGU5YjBkM2VhZTI5ODRlZDJiNmFiZmE5NTRiZjYifQ=="/>
  </w:docVars>
  <w:rsids>
    <w:rsidRoot w:val="3B74318D"/>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5F821D9"/>
    <w:rsid w:val="3B743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autoRedefine/>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autoRedefine/>
    <w:qFormat/>
    <w:uiPriority w:val="20"/>
    <w:rPr>
      <w:color w:val="CC0000"/>
    </w:rPr>
  </w:style>
  <w:style w:type="character" w:styleId="26">
    <w:name w:val="Hyperlink"/>
    <w:autoRedefine/>
    <w:qFormat/>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autoRedefine/>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autoRedefine/>
    <w:semiHidden/>
    <w:qFormat/>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autoRedefine/>
    <w:qFormat/>
    <w:uiPriority w:val="0"/>
    <w:rPr>
      <w:b/>
      <w:bCs/>
      <w:sz w:val="21"/>
      <w:szCs w:val="28"/>
      <w:lang w:val="en-GB"/>
    </w:rPr>
  </w:style>
  <w:style w:type="character" w:customStyle="1" w:styleId="38">
    <w:name w:val="标题 5 字符"/>
    <w:link w:val="7"/>
    <w:autoRedefine/>
    <w:qFormat/>
    <w:uiPriority w:val="0"/>
    <w:rPr>
      <w:b/>
      <w:bCs/>
      <w:iCs/>
      <w:sz w:val="21"/>
      <w:szCs w:val="26"/>
      <w:lang w:val="en-GB"/>
    </w:rPr>
  </w:style>
  <w:style w:type="character" w:customStyle="1" w:styleId="39">
    <w:name w:val="标题 6 字符"/>
    <w:link w:val="8"/>
    <w:autoRedefine/>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42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tmp5.dotx</Template>
  <Pages>27</Pages>
  <Words>7214</Words>
  <Characters>8229</Characters>
  <Lines>42</Lines>
  <Paragraphs>11</Paragraphs>
  <TotalTime>1</TotalTime>
  <ScaleCrop>false</ScaleCrop>
  <LinksUpToDate>false</LinksUpToDate>
  <CharactersWithSpaces>8464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2025-03-02T10:10:00Z</dcterms:created>
  <dc:creator>企业用户_794787227</dc:creator>
  <cp:lastModifiedBy>企业用户_794787227</cp:lastModifiedBy>
  <dcterms:modified xsi:type="dcterms:W3CDTF">2025-03-09T08:00:40Z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1ED6BBC25B19438F96C9823DDA79951D_11</vt:lpwstr>
  </property>
  <property fmtid="{D5CDD505-2E9C-101B-9397-08002B2CF9AE}" pid="3" name="KSOProductBuildVer">
    <vt:lpwstr>2052-12.1.0.16120</vt:lpwstr>
  </property>
</Properties>
</file>