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风澜水韵</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沈阳大学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沈阳大学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2024年11月26日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T13464427122</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_Toc18605 </w:instrText>
      </w:r>
      <w:r>
        <w:rPr>
          <w:rFonts w:ascii="宋体" w:hAnsi="宋体"/>
          <w:caps/>
        </w:rPr>
        <w:fldChar w:fldCharType="separate"/>
      </w:r>
      <w:r>
        <w:t xml:space="preserve">1 </w:t>
      </w:r>
      <w:r>
        <w:rPr>
          <w:rFonts w:hint="eastAsia"/>
        </w:rPr>
        <w:t>建筑概况</w:t>
      </w:r>
      <w:r>
        <w:tab/>
      </w:r>
      <w:r>
        <w:fldChar w:fldCharType="begin"/>
      </w:r>
      <w:r>
        <w:instrText xml:space="preserve"> PAGEREF _Toc18605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_Toc15700 </w:instrText>
      </w:r>
      <w:r>
        <w:fldChar w:fldCharType="separate"/>
      </w:r>
      <w:r>
        <w:t xml:space="preserve">2 </w:t>
      </w:r>
      <w:r>
        <w:rPr>
          <w:rFonts w:hint="eastAsia"/>
        </w:rPr>
        <w:t>评价依据</w:t>
      </w:r>
      <w:r>
        <w:tab/>
      </w:r>
      <w:r>
        <w:fldChar w:fldCharType="begin"/>
      </w:r>
      <w:r>
        <w:instrText xml:space="preserve"> PAGEREF _Toc15700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_Toc7550 </w:instrText>
      </w:r>
      <w:r>
        <w:fldChar w:fldCharType="separate"/>
      </w:r>
      <w:r>
        <w:t xml:space="preserve">3 </w:t>
      </w:r>
      <w:r>
        <w:rPr>
          <w:rFonts w:hint="eastAsia"/>
        </w:rPr>
        <w:t>标准</w:t>
      </w:r>
      <w:r>
        <w:t>要求</w:t>
      </w:r>
      <w:r>
        <w:tab/>
      </w:r>
      <w:r>
        <w:fldChar w:fldCharType="begin"/>
      </w:r>
      <w:r>
        <w:instrText xml:space="preserve"> PAGEREF _Toc7550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_Toc15056 </w:instrText>
      </w:r>
      <w:r>
        <w:fldChar w:fldCharType="separate"/>
      </w:r>
      <w:r>
        <w:rPr>
          <w:kern w:val="2"/>
        </w:rPr>
        <w:t xml:space="preserve">4 </w:t>
      </w:r>
      <w:r>
        <w:rPr>
          <w:rFonts w:hint="eastAsia"/>
          <w:kern w:val="2"/>
        </w:rPr>
        <w:t>隔声理论概述</w:t>
      </w:r>
      <w:r>
        <w:tab/>
      </w:r>
      <w:r>
        <w:fldChar w:fldCharType="begin"/>
      </w:r>
      <w:r>
        <w:instrText xml:space="preserve"> PAGEREF _Toc15056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_Toc220 </w:instrText>
      </w:r>
      <w:r>
        <w:fldChar w:fldCharType="separate"/>
      </w:r>
      <w:r>
        <w:t xml:space="preserve">4.1 </w:t>
      </w:r>
      <w:r>
        <w:rPr>
          <w:rFonts w:hint="eastAsia"/>
        </w:rPr>
        <w:t>原理概要</w:t>
      </w:r>
      <w:r>
        <w:tab/>
      </w:r>
      <w:r>
        <w:fldChar w:fldCharType="begin"/>
      </w:r>
      <w:r>
        <w:instrText xml:space="preserve"> PAGEREF _Toc220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_Toc3681 </w:instrText>
      </w:r>
      <w:r>
        <w:fldChar w:fldCharType="separate"/>
      </w:r>
      <w:r>
        <w:t xml:space="preserve">4.2 </w:t>
      </w:r>
      <w:r>
        <w:rPr>
          <w:rFonts w:hint="eastAsia"/>
        </w:rPr>
        <w:t>质量定律</w:t>
      </w:r>
      <w:r>
        <w:tab/>
      </w:r>
      <w:r>
        <w:fldChar w:fldCharType="begin"/>
      </w:r>
      <w:r>
        <w:instrText xml:space="preserve"> PAGEREF _Toc3681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_Toc22984 </w:instrText>
      </w:r>
      <w:r>
        <w:fldChar w:fldCharType="separate"/>
      </w:r>
      <w:r>
        <w:t>4.3 隔声</w:t>
      </w:r>
      <w:r>
        <w:rPr>
          <w:rFonts w:hint="eastAsia"/>
        </w:rPr>
        <w:t>量计算经验</w:t>
      </w:r>
      <w:r>
        <w:t>公式</w:t>
      </w:r>
      <w:r>
        <w:tab/>
      </w:r>
      <w:r>
        <w:fldChar w:fldCharType="begin"/>
      </w:r>
      <w:r>
        <w:instrText xml:space="preserve"> PAGEREF _Toc22984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_Toc8923 </w:instrText>
      </w:r>
      <w:r>
        <w:fldChar w:fldCharType="separate"/>
      </w:r>
      <w:r>
        <w:t xml:space="preserve">4.4 </w:t>
      </w:r>
      <w:r>
        <w:rPr>
          <w:rFonts w:hint="eastAsia"/>
        </w:rPr>
        <w:t>单值评价量</w:t>
      </w:r>
      <w:r>
        <w:tab/>
      </w:r>
      <w:r>
        <w:fldChar w:fldCharType="begin"/>
      </w:r>
      <w:r>
        <w:instrText xml:space="preserve"> PAGEREF _Toc8923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_Toc28732 </w:instrText>
      </w:r>
      <w:r>
        <w:fldChar w:fldCharType="separate"/>
      </w:r>
      <w:r>
        <w:t xml:space="preserve">4.5 </w:t>
      </w:r>
      <w:r>
        <w:rPr>
          <w:rFonts w:hint="eastAsia"/>
        </w:rPr>
        <w:t>频谱修正量</w:t>
      </w:r>
      <w:r>
        <w:tab/>
      </w:r>
      <w:r>
        <w:fldChar w:fldCharType="begin"/>
      </w:r>
      <w:r>
        <w:instrText xml:space="preserve"> PAGEREF _Toc28732 </w:instrText>
      </w:r>
      <w:r>
        <w:fldChar w:fldCharType="separate"/>
      </w:r>
      <w:r>
        <w:t>5</w:t>
      </w:r>
      <w:r>
        <w:fldChar w:fldCharType="end"/>
      </w:r>
      <w:r>
        <w:fldChar w:fldCharType="end"/>
      </w:r>
    </w:p>
    <w:p>
      <w:pPr>
        <w:pStyle w:val="18"/>
        <w:tabs>
          <w:tab w:val="right" w:leader="dot" w:pos="9070"/>
          <w:tab w:val="clear" w:pos="180"/>
          <w:tab w:val="clear" w:pos="9360"/>
        </w:tabs>
      </w:pPr>
      <w:r>
        <w:fldChar w:fldCharType="begin"/>
      </w:r>
      <w:r>
        <w:instrText xml:space="preserve"> HYPERLINK \l _Toc20224 </w:instrText>
      </w:r>
      <w:r>
        <w:fldChar w:fldCharType="separate"/>
      </w:r>
      <w:r>
        <w:t xml:space="preserve">5 </w:t>
      </w:r>
      <w:r>
        <w:rPr>
          <w:rFonts w:hint="eastAsia"/>
        </w:rPr>
        <w:t>构件空气声隔声性能</w:t>
      </w:r>
      <w:r>
        <w:tab/>
      </w:r>
      <w:r>
        <w:fldChar w:fldCharType="begin"/>
      </w:r>
      <w:r>
        <w:instrText xml:space="preserve"> PAGEREF _Toc20224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_Toc23534 </w:instrText>
      </w:r>
      <w:r>
        <w:fldChar w:fldCharType="separate"/>
      </w:r>
      <w:r>
        <w:t xml:space="preserve">5.1 </w:t>
      </w:r>
      <w:r>
        <w:rPr>
          <w:rFonts w:hint="eastAsia"/>
        </w:rPr>
        <w:t>墙板的空气声隔声量</w:t>
      </w:r>
      <w:r>
        <w:tab/>
      </w:r>
      <w:r>
        <w:fldChar w:fldCharType="begin"/>
      </w:r>
      <w:r>
        <w:instrText xml:space="preserve"> PAGEREF _Toc23534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_Toc32673 </w:instrText>
      </w:r>
      <w:r>
        <w:fldChar w:fldCharType="separate"/>
      </w:r>
      <w:r>
        <w:t xml:space="preserve">5.1.1 </w:t>
      </w:r>
      <w:r>
        <w:rPr>
          <w:rFonts w:hint="eastAsia"/>
        </w:rPr>
        <w:t>墙板构造做法</w:t>
      </w:r>
      <w:r>
        <w:tab/>
      </w:r>
      <w:r>
        <w:fldChar w:fldCharType="begin"/>
      </w:r>
      <w:r>
        <w:instrText xml:space="preserve"> PAGEREF _Toc32673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_Toc8834 </w:instrText>
      </w:r>
      <w:r>
        <w:fldChar w:fldCharType="separate"/>
      </w:r>
      <w:r>
        <w:t xml:space="preserve">5.1.2 </w:t>
      </w:r>
      <w:r>
        <w:rPr>
          <w:rFonts w:hint="eastAsia"/>
        </w:rPr>
        <w:t>墙板空气声隔声性能</w:t>
      </w:r>
      <w:r>
        <w:tab/>
      </w:r>
      <w:r>
        <w:fldChar w:fldCharType="begin"/>
      </w:r>
      <w:r>
        <w:instrText xml:space="preserve"> PAGEREF _Toc8834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_Toc1952 </w:instrText>
      </w:r>
      <w:r>
        <w:fldChar w:fldCharType="separate"/>
      </w:r>
      <w:r>
        <w:t xml:space="preserve">5.2 </w:t>
      </w:r>
      <w:r>
        <w:rPr>
          <w:rFonts w:hint="eastAsia"/>
        </w:rPr>
        <w:t>门窗的空气声隔声量</w:t>
      </w:r>
      <w:r>
        <w:tab/>
      </w:r>
      <w:r>
        <w:fldChar w:fldCharType="begin"/>
      </w:r>
      <w:r>
        <w:instrText xml:space="preserve"> PAGEREF _Toc1952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_Toc18418 </w:instrText>
      </w:r>
      <w:r>
        <w:fldChar w:fldCharType="separate"/>
      </w:r>
      <w:r>
        <w:t xml:space="preserve">6 </w:t>
      </w:r>
      <w:r>
        <w:rPr>
          <w:rFonts w:hint="eastAsia"/>
        </w:rPr>
        <w:t>楼板撞击声隔声性能</w:t>
      </w:r>
      <w:r>
        <w:tab/>
      </w:r>
      <w:r>
        <w:fldChar w:fldCharType="begin"/>
      </w:r>
      <w:r>
        <w:instrText xml:space="preserve"> PAGEREF _Toc18418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_Toc27946 </w:instrText>
      </w:r>
      <w:r>
        <w:fldChar w:fldCharType="separate"/>
      </w:r>
      <w:r>
        <w:rPr>
          <w:kern w:val="2"/>
        </w:rPr>
        <w:t xml:space="preserve">7 </w:t>
      </w:r>
      <w:r>
        <w:rPr>
          <w:rFonts w:hint="eastAsia"/>
          <w:kern w:val="2"/>
        </w:rPr>
        <w:t>结论</w:t>
      </w:r>
      <w:r>
        <w:tab/>
      </w:r>
      <w:r>
        <w:fldChar w:fldCharType="begin"/>
      </w:r>
      <w:r>
        <w:instrText xml:space="preserve"> PAGEREF _Toc27946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860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风澜水韵</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2580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70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7550"/>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5056"/>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2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503800603"/>
      <w:bookmarkStart w:id="30" w:name="_Toc3681"/>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22984"/>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8923"/>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28732"/>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0224"/>
      <w:r>
        <w:rPr>
          <w:rFonts w:hint="eastAsia"/>
        </w:rPr>
        <w:t>构件空气声隔声性能</w:t>
      </w:r>
      <w:bookmarkEnd w:id="34"/>
    </w:p>
    <w:p>
      <w:pPr>
        <w:pStyle w:val="4"/>
      </w:pPr>
      <w:bookmarkStart w:id="35" w:name="_Toc23534"/>
      <w:r>
        <w:rPr>
          <w:rFonts w:hint="eastAsia"/>
        </w:rPr>
        <w:t>墙板的空气声隔声量</w:t>
      </w:r>
      <w:bookmarkEnd w:id="35"/>
    </w:p>
    <w:p>
      <w:pPr>
        <w:pStyle w:val="5"/>
      </w:pPr>
      <w:bookmarkStart w:id="36" w:name="_Toc32673"/>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抗裂砂浆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restart"/>
            <w:vAlign w:val="center"/>
          </w:tcPr>
          <w:p>
            <w:pPr>
              <w:jc w:val="center"/>
              <w:rPr>
                <w:sz w:val="21"/>
                <w:szCs w:val="21"/>
              </w:rPr>
            </w:pPr>
            <w:r>
              <w:rPr>
                <w:sz w:val="21"/>
                <w:szCs w:val="21"/>
              </w:rPr>
              <w:t>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岩棉带（ρ=80~120）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蒸压加气混凝土B06</w:t>
            </w:r>
          </w:p>
        </w:tc>
        <w:tc>
          <w:tcPr>
            <w:vAlign w:val="center"/>
          </w:tcPr>
          <w:p>
            <w:pPr>
              <w:jc w:val="center"/>
              <w:rPr>
                <w:sz w:val="21"/>
                <w:szCs w:val="21"/>
              </w:rPr>
            </w:pPr>
            <w:r>
              <w:rPr>
                <w:sz w:val="21"/>
                <w:szCs w:val="21"/>
              </w:rPr>
              <w:t>240</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144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外墙(剪力墙)</w:t>
            </w: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35</w:t>
            </w:r>
          </w:p>
        </w:tc>
        <w:tc>
          <w:tcPr>
            <w:vMerge w:val="restart"/>
            <w:vAlign w:val="center"/>
          </w:tcPr>
          <w:p>
            <w:pPr>
              <w:jc w:val="cente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热固复合聚苯乙烯泡沫保温板（ρ=30-50）</w:t>
            </w:r>
          </w:p>
        </w:tc>
        <w:tc>
          <w:tcPr>
            <w:vAlign w:val="center"/>
          </w:tcPr>
          <w:p>
            <w:pPr>
              <w:jc w:val="center"/>
              <w:rPr>
                <w:sz w:val="21"/>
                <w:szCs w:val="21"/>
              </w:rPr>
            </w:pPr>
            <w:r>
              <w:rPr>
                <w:sz w:val="21"/>
                <w:szCs w:val="21"/>
              </w:rPr>
              <w:t>150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热固复合聚苯乙烯泡沫保温板（ρ=30-50）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玻璃棉板（用于幕墙）（ρ≥32）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1</w:t>
            </w:r>
          </w:p>
        </w:tc>
        <w:tc>
          <w:tcPr>
            <w:vMerge w:val="restart"/>
            <w:vAlign w:val="center"/>
          </w:tcPr>
          <w:p>
            <w:pPr>
              <w:jc w:val="center"/>
              <w:rPr>
                <w:sz w:val="21"/>
                <w:szCs w:val="21"/>
              </w:rPr>
            </w:pPr>
            <w:r>
              <w:rPr>
                <w:sz w:val="21"/>
                <w:szCs w:val="21"/>
              </w:rPr>
              <w:t>513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138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热固复合聚苯乙烯泡沫保温板（ρ=30-50）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883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抗裂砂浆 15mm＋岩棉带（ρ=80~120） 100mm＋石灰砂浆 20mm＋蒸压加气混凝土B06 240mm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35.6</w:t>
            </w:r>
          </w:p>
        </w:tc>
        <w:tc>
          <w:tcPr>
            <w:vAlign w:val="center"/>
          </w:tcPr>
          <w:p>
            <w:pPr>
              <w:rPr>
                <w:sz w:val="21"/>
                <w:szCs w:val="21"/>
              </w:rPr>
            </w:pPr>
            <w:r>
              <w:rPr>
                <w:sz w:val="21"/>
                <w:szCs w:val="21"/>
              </w:rPr>
              <w:t>38.9</w:t>
            </w:r>
          </w:p>
        </w:tc>
        <w:tc>
          <w:tcPr>
            <w:vAlign w:val="center"/>
          </w:tcPr>
          <w:p>
            <w:pPr>
              <w:rPr>
                <w:sz w:val="21"/>
                <w:szCs w:val="21"/>
              </w:rPr>
            </w:pPr>
            <w:r>
              <w:rPr>
                <w:sz w:val="21"/>
                <w:szCs w:val="21"/>
              </w:rPr>
              <w:t>42.2</w:t>
            </w:r>
          </w:p>
        </w:tc>
        <w:tc>
          <w:tcPr>
            <w:vAlign w:val="center"/>
          </w:tcPr>
          <w:p>
            <w:pPr>
              <w:rPr>
                <w:sz w:val="21"/>
                <w:szCs w:val="21"/>
              </w:rPr>
            </w:pPr>
            <w:r>
              <w:rPr>
                <w:sz w:val="21"/>
                <w:szCs w:val="21"/>
              </w:rPr>
              <w:t>45.6</w:t>
            </w:r>
          </w:p>
        </w:tc>
        <w:tc>
          <w:tcPr>
            <w:vAlign w:val="center"/>
          </w:tcPr>
          <w:p>
            <w:pPr>
              <w:rPr>
                <w:sz w:val="21"/>
                <w:szCs w:val="21"/>
              </w:rPr>
            </w:pPr>
            <w:r>
              <w:rPr>
                <w:sz w:val="21"/>
                <w:szCs w:val="21"/>
              </w:rPr>
              <w:t>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0.1</w:t>
            </w:r>
          </w:p>
        </w:tc>
        <w:tc>
          <w:tcPr>
            <w:vAlign w:val="center"/>
          </w:tcPr>
          <w:p>
            <w:pPr>
              <w:rPr>
                <w:sz w:val="21"/>
                <w:szCs w:val="21"/>
              </w:rPr>
            </w:pPr>
            <w:r>
              <w:rPr>
                <w:sz w:val="21"/>
                <w:szCs w:val="21"/>
              </w:rPr>
              <w:t>3.8</w:t>
            </w:r>
          </w:p>
        </w:tc>
        <w:tc>
          <w:tcPr>
            <w:vAlign w:val="center"/>
          </w:tcPr>
          <w:p>
            <w:pPr>
              <w:rPr>
                <w:sz w:val="21"/>
                <w:szCs w:val="21"/>
              </w:rPr>
            </w:pPr>
            <w:r>
              <w:rPr>
                <w:sz w:val="21"/>
                <w:szCs w:val="21"/>
              </w:rPr>
              <w:t>3.4</w:t>
            </w:r>
          </w:p>
        </w:tc>
        <w:tc>
          <w:tcPr>
            <w:vAlign w:val="center"/>
          </w:tcPr>
          <w:p>
            <w:pPr>
              <w:rPr>
                <w:sz w:val="21"/>
                <w:szCs w:val="21"/>
              </w:rPr>
            </w:pPr>
            <w:r>
              <w:rPr>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c20细石混凝土(ρ=2300) 15mm＋玻璃棉板（用于幕墙）（ρ≥32） 70mm＋石灰砂浆 20mm＋钢筋混凝土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45.4</w:t>
            </w:r>
          </w:p>
        </w:tc>
        <w:tc>
          <w:tcPr>
            <w:vAlign w:val="center"/>
          </w:tcPr>
          <w:p>
            <w:pPr>
              <w:rPr>
                <w:sz w:val="21"/>
                <w:szCs w:val="21"/>
              </w:rPr>
            </w:pPr>
            <w:r>
              <w:rPr>
                <w:sz w:val="21"/>
                <w:szCs w:val="21"/>
              </w:rPr>
              <w:t>48.7</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0.3</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玻璃棉板（用于幕墙）（ρ≥32） 20mm＋加气混凝土、泡沫混凝土(ρ=700) 200mm＋混合砂浆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34.2</w:t>
            </w:r>
          </w:p>
        </w:tc>
        <w:tc>
          <w:tcPr>
            <w:vAlign w:val="center"/>
          </w:tcPr>
          <w:p>
            <w:pPr>
              <w:rPr>
                <w:sz w:val="21"/>
                <w:szCs w:val="21"/>
              </w:rPr>
            </w:pPr>
            <w:r>
              <w:rPr>
                <w:sz w:val="21"/>
                <w:szCs w:val="21"/>
              </w:rPr>
              <w:t>37.5</w:t>
            </w:r>
          </w:p>
        </w:tc>
        <w:tc>
          <w:tcPr>
            <w:vAlign w:val="center"/>
          </w:tcPr>
          <w:p>
            <w:pPr>
              <w:rPr>
                <w:sz w:val="21"/>
                <w:szCs w:val="21"/>
              </w:rPr>
            </w:pPr>
            <w:r>
              <w:rPr>
                <w:sz w:val="21"/>
                <w:szCs w:val="21"/>
              </w:rPr>
              <w:t>40.8</w:t>
            </w:r>
          </w:p>
        </w:tc>
        <w:tc>
          <w:tcPr>
            <w:vAlign w:val="center"/>
          </w:tcPr>
          <w:p>
            <w:pPr>
              <w:rPr>
                <w:sz w:val="21"/>
                <w:szCs w:val="21"/>
              </w:rPr>
            </w:pPr>
            <w:r>
              <w:rPr>
                <w:sz w:val="21"/>
                <w:szCs w:val="21"/>
              </w:rPr>
              <w:t>44.1</w:t>
            </w:r>
          </w:p>
        </w:tc>
        <w:tc>
          <w:tcPr>
            <w:vAlign w:val="center"/>
          </w:tcPr>
          <w:p>
            <w:pPr>
              <w:rPr>
                <w:sz w:val="21"/>
                <w:szCs w:val="21"/>
              </w:rPr>
            </w:pPr>
            <w:r>
              <w:rPr>
                <w:sz w:val="21"/>
                <w:szCs w:val="21"/>
              </w:rPr>
              <w:t>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阅览室的隔墙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玻璃棉板（用于幕墙）（ρ≥32） 20mm＋加气混凝土、泡沫混凝土(ρ=700) 200mm＋混合砂浆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34.2</w:t>
            </w:r>
          </w:p>
        </w:tc>
        <w:tc>
          <w:tcPr>
            <w:vAlign w:val="center"/>
          </w:tcPr>
          <w:p>
            <w:pPr>
              <w:rPr>
                <w:sz w:val="21"/>
                <w:szCs w:val="21"/>
              </w:rPr>
            </w:pPr>
            <w:r>
              <w:rPr>
                <w:sz w:val="21"/>
                <w:szCs w:val="21"/>
              </w:rPr>
              <w:t>37.5</w:t>
            </w:r>
          </w:p>
        </w:tc>
        <w:tc>
          <w:tcPr>
            <w:vAlign w:val="center"/>
          </w:tcPr>
          <w:p>
            <w:pPr>
              <w:rPr>
                <w:sz w:val="21"/>
                <w:szCs w:val="21"/>
              </w:rPr>
            </w:pPr>
            <w:r>
              <w:rPr>
                <w:sz w:val="21"/>
                <w:szCs w:val="21"/>
              </w:rPr>
              <w:t>40.8</w:t>
            </w:r>
          </w:p>
        </w:tc>
        <w:tc>
          <w:tcPr>
            <w:vAlign w:val="center"/>
          </w:tcPr>
          <w:p>
            <w:pPr>
              <w:rPr>
                <w:sz w:val="21"/>
                <w:szCs w:val="21"/>
              </w:rPr>
            </w:pPr>
            <w:r>
              <w:rPr>
                <w:sz w:val="21"/>
                <w:szCs w:val="21"/>
              </w:rPr>
              <w:t>44.1</w:t>
            </w:r>
          </w:p>
        </w:tc>
        <w:tc>
          <w:tcPr>
            <w:vAlign w:val="center"/>
          </w:tcPr>
          <w:p>
            <w:pPr>
              <w:rPr>
                <w:sz w:val="21"/>
                <w:szCs w:val="21"/>
              </w:rPr>
            </w:pPr>
            <w:r>
              <w:rPr>
                <w:sz w:val="21"/>
                <w:szCs w:val="21"/>
              </w:rPr>
              <w:t>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玻璃棉板（用于幕墙）（ρ≥32） 20mm＋加气混凝土、泡沫混凝土(ρ=700) 200mm＋混合砂浆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34.2</w:t>
            </w:r>
          </w:p>
        </w:tc>
        <w:tc>
          <w:tcPr>
            <w:vAlign w:val="center"/>
          </w:tcPr>
          <w:p>
            <w:pPr>
              <w:rPr>
                <w:sz w:val="21"/>
                <w:szCs w:val="21"/>
              </w:rPr>
            </w:pPr>
            <w:r>
              <w:rPr>
                <w:sz w:val="21"/>
                <w:szCs w:val="21"/>
              </w:rPr>
              <w:t>37.5</w:t>
            </w:r>
          </w:p>
        </w:tc>
        <w:tc>
          <w:tcPr>
            <w:vAlign w:val="center"/>
          </w:tcPr>
          <w:p>
            <w:pPr>
              <w:rPr>
                <w:sz w:val="21"/>
                <w:szCs w:val="21"/>
              </w:rPr>
            </w:pPr>
            <w:r>
              <w:rPr>
                <w:sz w:val="21"/>
                <w:szCs w:val="21"/>
              </w:rPr>
              <w:t>40.8</w:t>
            </w:r>
          </w:p>
        </w:tc>
        <w:tc>
          <w:tcPr>
            <w:vAlign w:val="center"/>
          </w:tcPr>
          <w:p>
            <w:pPr>
              <w:rPr>
                <w:sz w:val="21"/>
                <w:szCs w:val="21"/>
              </w:rPr>
            </w:pPr>
            <w:r>
              <w:rPr>
                <w:sz w:val="21"/>
                <w:szCs w:val="21"/>
              </w:rPr>
              <w:t>44.1</w:t>
            </w:r>
          </w:p>
        </w:tc>
        <w:tc>
          <w:tcPr>
            <w:vAlign w:val="center"/>
          </w:tcPr>
          <w:p>
            <w:pPr>
              <w:rPr>
                <w:sz w:val="21"/>
                <w:szCs w:val="21"/>
              </w:rPr>
            </w:pPr>
            <w:r>
              <w:rPr>
                <w:sz w:val="21"/>
                <w:szCs w:val="21"/>
              </w:rPr>
              <w:t>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c20细石混凝土(ρ=2300) 15mm＋玻璃棉板（用于幕墙）（ρ≥32） 70mm＋石灰砂浆 20mm＋钢筋混凝土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45.4</w:t>
            </w:r>
          </w:p>
        </w:tc>
        <w:tc>
          <w:tcPr>
            <w:vAlign w:val="center"/>
          </w:tcPr>
          <w:p>
            <w:pPr>
              <w:rPr>
                <w:sz w:val="21"/>
                <w:szCs w:val="21"/>
              </w:rPr>
            </w:pPr>
            <w:r>
              <w:rPr>
                <w:sz w:val="21"/>
                <w:szCs w:val="21"/>
              </w:rPr>
              <w:t>48.7</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0.3</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1952"/>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金属真空玻璃组合5+V+5+12A+5高透光Low-E  隔热条26mm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双层玻璃窗</w:t>
            </w:r>
            <w:r>
              <w:rPr>
                <w:sz w:val="21"/>
                <w:szCs w:val="21"/>
              </w:rPr>
              <w:br w:type="textWrapping"/>
            </w:r>
            <w:r>
              <w:rPr>
                <w:sz w:val="21"/>
                <w:szCs w:val="21"/>
              </w:rPr>
              <w:t>4+8A+4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20.0</w:t>
            </w:r>
          </w:p>
        </w:tc>
        <w:tc>
          <w:tcPr>
            <w:vAlign w:val="center"/>
          </w:tcPr>
          <w:p>
            <w:pPr>
              <w:rPr>
                <w:sz w:val="21"/>
                <w:szCs w:val="21"/>
              </w:rPr>
            </w:pPr>
            <w:r>
              <w:rPr>
                <w:sz w:val="21"/>
                <w:szCs w:val="21"/>
              </w:rPr>
              <w:t>19.0</w:t>
            </w:r>
          </w:p>
        </w:tc>
        <w:tc>
          <w:tcPr>
            <w:vAlign w:val="center"/>
          </w:tcPr>
          <w:p>
            <w:pPr>
              <w:rPr>
                <w:sz w:val="21"/>
                <w:szCs w:val="21"/>
              </w:rPr>
            </w:pPr>
            <w:r>
              <w:rPr>
                <w:sz w:val="21"/>
                <w:szCs w:val="21"/>
              </w:rPr>
              <w:t>22.0</w:t>
            </w:r>
          </w:p>
        </w:tc>
        <w:tc>
          <w:tcPr>
            <w:vAlign w:val="center"/>
          </w:tcPr>
          <w:p>
            <w:pPr>
              <w:rPr>
                <w:sz w:val="21"/>
                <w:szCs w:val="21"/>
              </w:rPr>
            </w:pPr>
            <w:r>
              <w:rPr>
                <w:sz w:val="21"/>
                <w:szCs w:val="21"/>
              </w:rPr>
              <w:t>35.0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7.0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金属真空玻璃组合5+V+5+12A+5高透光Low-E  隔热条26mm</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双层玻璃窗</w:t>
            </w:r>
            <w:r>
              <w:rPr>
                <w:sz w:val="21"/>
                <w:szCs w:val="21"/>
              </w:rPr>
              <w:br w:type="textWrapping"/>
            </w:r>
            <w:r>
              <w:rPr>
                <w:sz w:val="21"/>
                <w:szCs w:val="21"/>
              </w:rPr>
              <w:t>4+8A+4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20.0</w:t>
            </w:r>
          </w:p>
        </w:tc>
        <w:tc>
          <w:tcPr>
            <w:vAlign w:val="center"/>
          </w:tcPr>
          <w:p>
            <w:pPr>
              <w:rPr>
                <w:sz w:val="21"/>
                <w:szCs w:val="21"/>
              </w:rPr>
            </w:pPr>
            <w:r>
              <w:rPr>
                <w:sz w:val="21"/>
                <w:szCs w:val="21"/>
              </w:rPr>
              <w:t>19.0</w:t>
            </w:r>
          </w:p>
        </w:tc>
        <w:tc>
          <w:tcPr>
            <w:vAlign w:val="center"/>
          </w:tcPr>
          <w:p>
            <w:pPr>
              <w:rPr>
                <w:sz w:val="21"/>
                <w:szCs w:val="21"/>
              </w:rPr>
            </w:pPr>
            <w:r>
              <w:rPr>
                <w:sz w:val="21"/>
                <w:szCs w:val="21"/>
              </w:rPr>
              <w:t>22.0</w:t>
            </w:r>
          </w:p>
        </w:tc>
        <w:tc>
          <w:tcPr>
            <w:vAlign w:val="center"/>
          </w:tcPr>
          <w:p>
            <w:pPr>
              <w:rPr>
                <w:sz w:val="21"/>
                <w:szCs w:val="21"/>
              </w:rPr>
            </w:pPr>
            <w:r>
              <w:rPr>
                <w:sz w:val="21"/>
                <w:szCs w:val="21"/>
              </w:rPr>
              <w:t>35.0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7.0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8418"/>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本工程无评价对象</w:t>
      </w:r>
    </w:p>
    <w:p>
      <w:pPr>
        <w:rPr>
          <w:sz w:val="21"/>
          <w:szCs w:val="21"/>
          <w:lang w:val="en-US"/>
        </w:rPr>
      </w:pPr>
    </w:p>
    <w:bookmarkEnd w:id="25"/>
    <w:p>
      <w:pPr>
        <w:pStyle w:val="2"/>
        <w:ind w:left="669" w:hanging="669"/>
        <w:rPr>
          <w:kern w:val="2"/>
        </w:rPr>
      </w:pPr>
      <w:bookmarkStart w:id="50" w:name="_Toc27946"/>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color w:val="FF0000"/>
                <w:sz w:val="21"/>
                <w:szCs w:val="21"/>
              </w:rPr>
              <w:t>43</w:t>
            </w:r>
          </w:p>
        </w:tc>
        <w:tc>
          <w:tcPr>
            <w:vAlign w:val="center"/>
          </w:tcPr>
          <w:p>
            <w:pPr>
              <w:rPr>
                <w:sz w:val="21"/>
                <w:szCs w:val="21"/>
              </w:rPr>
            </w:pPr>
            <w:r>
              <w:rPr>
                <w:sz w:val="21"/>
                <w:szCs w:val="21"/>
              </w:rPr>
              <w:t>低限:≥45,高要求:≥50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普通教室间隔墙</w:t>
            </w:r>
          </w:p>
        </w:tc>
        <w:tc>
          <w:tcPr>
            <w:vAlign w:val="center"/>
          </w:tcPr>
          <w:p>
            <w:pPr>
              <w:rPr>
                <w:sz w:val="21"/>
                <w:szCs w:val="21"/>
              </w:rPr>
            </w:pPr>
            <w:r>
              <w:rPr>
                <w:b/>
                <w:color w:val="FF0000"/>
                <w:sz w:val="21"/>
                <w:szCs w:val="21"/>
              </w:rPr>
              <w:t>44</w:t>
            </w:r>
          </w:p>
        </w:tc>
        <w:tc>
          <w:tcPr>
            <w:vAlign w:val="center"/>
          </w:tcPr>
          <w:p>
            <w:pPr>
              <w:rPr>
                <w:sz w:val="21"/>
                <w:szCs w:val="21"/>
              </w:rPr>
            </w:pPr>
            <w:r>
              <w:rPr>
                <w:sz w:val="21"/>
                <w:szCs w:val="21"/>
              </w:rPr>
              <w:t>低限:&gt;45,高要求:&gt;50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阅览室的隔墙</w:t>
            </w:r>
          </w:p>
        </w:tc>
        <w:tc>
          <w:tcPr>
            <w:vAlign w:val="center"/>
          </w:tcPr>
          <w:p>
            <w:pPr>
              <w:rPr>
                <w:sz w:val="21"/>
                <w:szCs w:val="21"/>
              </w:rPr>
            </w:pPr>
            <w:r>
              <w:rPr>
                <w:b/>
                <w:color w:val="FF0000"/>
                <w:sz w:val="21"/>
                <w:szCs w:val="21"/>
              </w:rPr>
              <w:t>44</w:t>
            </w:r>
          </w:p>
        </w:tc>
        <w:tc>
          <w:tcPr>
            <w:vAlign w:val="center"/>
          </w:tcPr>
          <w:p>
            <w:pPr>
              <w:rPr>
                <w:sz w:val="21"/>
                <w:szCs w:val="21"/>
              </w:rPr>
            </w:pPr>
            <w:r>
              <w:rPr>
                <w:sz w:val="21"/>
                <w:szCs w:val="21"/>
              </w:rPr>
              <w:t>低限:&gt;50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color w:val="FF0000"/>
                <w:sz w:val="21"/>
                <w:szCs w:val="21"/>
              </w:rPr>
              <w:t>44</w:t>
            </w:r>
          </w:p>
        </w:tc>
        <w:tc>
          <w:tcPr>
            <w:vAlign w:val="center"/>
          </w:tcPr>
          <w:p>
            <w:pPr>
              <w:rPr>
                <w:sz w:val="21"/>
                <w:szCs w:val="21"/>
              </w:rPr>
            </w:pPr>
            <w:r>
              <w:rPr>
                <w:sz w:val="21"/>
                <w:szCs w:val="21"/>
              </w:rPr>
              <w:t>低限:&gt;45,高要求:&gt;50</w:t>
            </w:r>
          </w:p>
        </w:tc>
        <w:tc>
          <w:tcPr>
            <w:vAlign w:val="center"/>
          </w:tcPr>
          <w:p>
            <w:pPr>
              <w:rPr>
                <w:sz w:val="21"/>
                <w:szCs w:val="21"/>
              </w:rPr>
            </w:pPr>
            <w:r>
              <w:rPr>
                <w:b/>
                <w:color w:val="FF0000"/>
                <w:sz w:val="21"/>
                <w:szCs w:val="21"/>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办公室(办公建筑)的门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25</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25</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满足低限要求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本工程无评价对象</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color w:val="FF0000"/>
                <w:sz w:val="21"/>
                <w:szCs w:val="21"/>
                <w:lang w:val="en-US"/>
              </w:rPr>
              <w:t>不满足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color w:val="FF0000"/>
                <w:sz w:val="21"/>
                <w:szCs w:val="21"/>
                <w:lang w:val="en-US"/>
              </w:rPr>
              <w:t>不满足</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794B6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E79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u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14</Pages>
  <Words>5839</Words>
  <Characters>7436</Characters>
  <Lines>47</Lines>
  <Paragraphs>13</Paragraphs>
  <TotalTime>0</TotalTime>
  <ScaleCrop>false</ScaleCrop>
  <LinksUpToDate>false</LinksUpToDate>
  <CharactersWithSpaces>7915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2024-11-26T03:32:00Z</dcterms:created>
  <dc:creator>haojun</dc:creator>
  <cp:lastModifiedBy>haojun</cp:lastModifiedBy>
  <dcterms:modified xsi:type="dcterms:W3CDTF">2024-11-26T03:33:06Z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