
<file path=[Content_Types].xml><?xml version="1.0" encoding="utf-8"?>
<Types xmlns="http://schemas.openxmlformats.org/package/2006/content-types">
  <Default Extension="xml" ContentType="application/xml"/>
  <Default Extension="jpeg" ContentType="image/jpe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82" w:name="_GoBack"/>
      <w:bookmarkEnd w:id="82"/>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r>
              <w:t>风澜水韵</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r>
              <w:t>沈阳大学</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r>
              <w:t>沈阳大学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2024年11月26日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采光分析DALI2024</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20240430(SP1)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T13464427122</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_Toc7896 </w:instrText>
          </w:r>
          <w:r>
            <w:fldChar w:fldCharType="separate"/>
          </w:r>
          <w:r>
            <w:rPr>
              <w:rFonts w:hint="eastAsia"/>
            </w:rPr>
            <w:t>1. 建筑概况</w:t>
          </w:r>
          <w:r>
            <w:tab/>
          </w:r>
          <w:r>
            <w:fldChar w:fldCharType="begin"/>
          </w:r>
          <w:r>
            <w:instrText xml:space="preserve"> PAGEREF _Toc7896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_Toc1215 </w:instrText>
          </w:r>
          <w:r>
            <w:rPr>
              <w:bCs/>
              <w:lang w:val="zh-CN"/>
            </w:rPr>
            <w:fldChar w:fldCharType="separate"/>
          </w:r>
          <w:r>
            <w:rPr>
              <w:rFonts w:hint="eastAsia"/>
            </w:rPr>
            <w:t>2. 设计依据</w:t>
          </w:r>
          <w:r>
            <w:tab/>
          </w:r>
          <w:r>
            <w:fldChar w:fldCharType="begin"/>
          </w:r>
          <w:r>
            <w:instrText xml:space="preserve"> PAGEREF _Toc1215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_Toc21266 </w:instrText>
          </w:r>
          <w:r>
            <w:rPr>
              <w:bCs/>
              <w:lang w:val="zh-CN"/>
            </w:rPr>
            <w:fldChar w:fldCharType="separate"/>
          </w:r>
          <w:r>
            <w:rPr>
              <w:rFonts w:hint="eastAsia"/>
            </w:rPr>
            <w:t>3. 标准要求</w:t>
          </w:r>
          <w:r>
            <w:tab/>
          </w:r>
          <w:r>
            <w:fldChar w:fldCharType="begin"/>
          </w:r>
          <w:r>
            <w:instrText xml:space="preserve"> PAGEREF _Toc21266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_Toc14767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_Toc14767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_Toc23559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_Toc23559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_Toc20901 </w:instrText>
          </w:r>
          <w:r>
            <w:rPr>
              <w:bCs/>
              <w:lang w:val="zh-CN"/>
            </w:rPr>
            <w:fldChar w:fldCharType="separate"/>
          </w:r>
          <w:r>
            <w:rPr>
              <w:rFonts w:hint="eastAsia"/>
              <w:lang w:val="en-GB"/>
            </w:rPr>
            <w:t xml:space="preserve">4.2 </w:t>
          </w:r>
          <w:r>
            <w:t>分析软件</w:t>
          </w:r>
          <w:r>
            <w:tab/>
          </w:r>
          <w:r>
            <w:fldChar w:fldCharType="begin"/>
          </w:r>
          <w:r>
            <w:instrText xml:space="preserve"> PAGEREF _Toc20901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_Toc32073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_Toc32073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_Toc11667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_Toc11667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_Toc14598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_Toc14598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_Toc24553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_Toc24553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_Toc29951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_Toc29951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_Toc10283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_Toc10283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_Toc18505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_Toc18505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_Toc18492 </w:instrText>
          </w:r>
          <w:r>
            <w:rPr>
              <w:bCs/>
              <w:lang w:val="zh-CN"/>
            </w:rPr>
            <w:fldChar w:fldCharType="separate"/>
          </w:r>
          <w:r>
            <w:rPr>
              <w:rFonts w:hint="eastAsia"/>
            </w:rPr>
            <w:t>6. 房间模拟</w:t>
          </w:r>
          <w:r>
            <w:t>结果</w:t>
          </w:r>
          <w:r>
            <w:tab/>
          </w:r>
          <w:r>
            <w:fldChar w:fldCharType="begin"/>
          </w:r>
          <w:r>
            <w:instrText xml:space="preserve"> PAGEREF _Toc18492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_Toc16369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_Toc16369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_Toc26839 </w:instrText>
          </w:r>
          <w:r>
            <w:rPr>
              <w:bCs/>
              <w:lang w:val="zh-CN"/>
            </w:rPr>
            <w:fldChar w:fldCharType="separate"/>
          </w:r>
          <w:r>
            <w:rPr>
              <w:rFonts w:hint="eastAsia"/>
            </w:rPr>
            <w:t>8. 结论</w:t>
          </w:r>
          <w:r>
            <w:tab/>
          </w:r>
          <w:r>
            <w:fldChar w:fldCharType="begin"/>
          </w:r>
          <w:r>
            <w:instrText xml:space="preserve"> PAGEREF _Toc26839 </w:instrText>
          </w:r>
          <w:r>
            <w:fldChar w:fldCharType="separate"/>
          </w:r>
          <w:r>
            <w:t>9</w:t>
          </w:r>
          <w:r>
            <w:fldChar w:fldCharType="end"/>
          </w:r>
          <w:r>
            <w:rPr>
              <w:bCs/>
              <w:lang w:val="zh-CN"/>
            </w:rPr>
            <w:fldChar w:fldCharType="end"/>
          </w:r>
        </w:p>
        <w:p>
          <w:r>
            <w:rPr>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7896"/>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沈阳</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2579.97</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9.00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1215"/>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21266"/>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体育建筑、办公建筑、学校建筑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ind w:firstLine="420"/>
        <w:jc w:val="left"/>
        <w:rPr>
          <w:rFonts w:ascii="微软雅黑" w:hAnsi="微软雅黑" w:eastAsia="微软雅黑"/>
        </w:rPr>
      </w:pPr>
      <w:r>
        <w:rPr>
          <w:rFonts w:hint="eastAsia" w:ascii="微软雅黑" w:hAnsi="微软雅黑" w:eastAsia="微软雅黑"/>
        </w:rPr>
        <w:t>4.0.8  办公建筑的采光标准值不应低于表4.0.8的规定。</w:t>
      </w:r>
    </w:p>
    <w:p>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pPr>
              <w:widowControl w:val="0"/>
              <w:jc w:val="center"/>
              <w:rPr>
                <w:szCs w:val="18"/>
              </w:rPr>
            </w:pPr>
            <w:r>
              <w:rPr>
                <w:rFonts w:hint="eastAsia"/>
                <w:szCs w:val="18"/>
              </w:rPr>
              <w:t>采光等级</w:t>
            </w:r>
          </w:p>
        </w:tc>
        <w:tc>
          <w:tcPr>
            <w:tcW w:w="2552" w:type="dxa"/>
            <w:vMerge w:val="restart"/>
            <w:vAlign w:val="center"/>
          </w:tcPr>
          <w:p>
            <w:pPr>
              <w:widowControl w:val="0"/>
              <w:jc w:val="center"/>
              <w:rPr>
                <w:szCs w:val="18"/>
              </w:rPr>
            </w:pPr>
            <w:r>
              <w:rPr>
                <w:rFonts w:hint="eastAsia"/>
                <w:szCs w:val="18"/>
              </w:rPr>
              <w:t>场所名称</w:t>
            </w:r>
          </w:p>
        </w:tc>
        <w:tc>
          <w:tcPr>
            <w:tcW w:w="5393" w:type="dxa"/>
            <w:gridSpan w:val="2"/>
            <w:vAlign w:val="center"/>
          </w:tcPr>
          <w:p>
            <w:pPr>
              <w:widowControl w:val="0"/>
              <w:jc w:val="center"/>
              <w:rPr>
                <w:szCs w:val="18"/>
              </w:rPr>
            </w:pPr>
            <w:r>
              <w:rPr>
                <w:rFonts w:hint="eastAsia"/>
                <w:szCs w:val="18"/>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pPr>
              <w:widowControl w:val="0"/>
              <w:jc w:val="center"/>
              <w:rPr>
                <w:szCs w:val="18"/>
              </w:rPr>
            </w:pPr>
          </w:p>
        </w:tc>
        <w:tc>
          <w:tcPr>
            <w:tcW w:w="2552" w:type="dxa"/>
            <w:vMerge w:val="continue"/>
            <w:vAlign w:val="center"/>
          </w:tcPr>
          <w:p>
            <w:pPr>
              <w:widowControl w:val="0"/>
              <w:jc w:val="center"/>
              <w:rPr>
                <w:szCs w:val="18"/>
              </w:rPr>
            </w:pPr>
          </w:p>
        </w:tc>
        <w:tc>
          <w:tcPr>
            <w:tcW w:w="2409" w:type="dxa"/>
            <w:vAlign w:val="center"/>
          </w:tcPr>
          <w:p>
            <w:pPr>
              <w:widowControl w:val="0"/>
              <w:jc w:val="center"/>
              <w:rPr>
                <w:szCs w:val="18"/>
              </w:rPr>
            </w:pPr>
            <w:r>
              <w:rPr>
                <w:szCs w:val="18"/>
              </w:rPr>
              <w:t>采光系数标准值（%）</w:t>
            </w:r>
          </w:p>
        </w:tc>
        <w:tc>
          <w:tcPr>
            <w:tcW w:w="2984" w:type="dxa"/>
            <w:vAlign w:val="center"/>
          </w:tcPr>
          <w:p>
            <w:pPr>
              <w:widowControl w:val="0"/>
              <w:jc w:val="center"/>
              <w:rPr>
                <w:szCs w:val="18"/>
              </w:rPr>
            </w:pPr>
            <w:r>
              <w:rPr>
                <w:szCs w:val="18"/>
              </w:rPr>
              <w:t>室</w:t>
            </w:r>
            <w:r>
              <w:rPr>
                <w:rFonts w:hint="eastAsia"/>
                <w:szCs w:val="18"/>
              </w:rPr>
              <w:t>内</w:t>
            </w:r>
            <w:r>
              <w:rPr>
                <w:szCs w:val="18"/>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jc w:val="center"/>
              <w:rPr>
                <w:szCs w:val="18"/>
              </w:rPr>
            </w:pPr>
            <w:r>
              <w:rPr>
                <w:rFonts w:hint="eastAsia"/>
                <w:szCs w:val="18"/>
              </w:rPr>
              <w:t>Ⅱ</w:t>
            </w:r>
          </w:p>
        </w:tc>
        <w:tc>
          <w:tcPr>
            <w:tcW w:w="2552" w:type="dxa"/>
            <w:vAlign w:val="center"/>
          </w:tcPr>
          <w:p>
            <w:pPr>
              <w:widowControl w:val="0"/>
              <w:jc w:val="center"/>
              <w:rPr>
                <w:szCs w:val="18"/>
              </w:rPr>
            </w:pPr>
            <w:r>
              <w:rPr>
                <w:rFonts w:hint="eastAsia"/>
                <w:szCs w:val="18"/>
              </w:rPr>
              <w:t>设计室、绘图室</w:t>
            </w:r>
          </w:p>
        </w:tc>
        <w:tc>
          <w:tcPr>
            <w:tcW w:w="2409" w:type="dxa"/>
            <w:vAlign w:val="center"/>
          </w:tcPr>
          <w:p>
            <w:pPr>
              <w:widowControl w:val="0"/>
              <w:jc w:val="center"/>
              <w:rPr>
                <w:szCs w:val="18"/>
              </w:rPr>
            </w:pPr>
            <w:r>
              <w:rPr>
                <w:szCs w:val="18"/>
              </w:rPr>
              <w:t>4.0</w:t>
            </w:r>
          </w:p>
        </w:tc>
        <w:tc>
          <w:tcPr>
            <w:tcW w:w="2984" w:type="dxa"/>
            <w:vAlign w:val="center"/>
          </w:tcPr>
          <w:p>
            <w:pPr>
              <w:widowControl w:val="0"/>
              <w:jc w:val="center"/>
              <w:rPr>
                <w:szCs w:val="18"/>
              </w:rPr>
            </w:pPr>
            <w:r>
              <w:rPr>
                <w:rFonts w:hint="eastAsia"/>
                <w:szCs w:val="18"/>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jc w:val="center"/>
              <w:rPr>
                <w:szCs w:val="18"/>
              </w:rPr>
            </w:pPr>
            <w:r>
              <w:rPr>
                <w:rFonts w:hint="eastAsia"/>
                <w:szCs w:val="18"/>
              </w:rPr>
              <w:t>Ⅲ</w:t>
            </w:r>
          </w:p>
        </w:tc>
        <w:tc>
          <w:tcPr>
            <w:tcW w:w="2552" w:type="dxa"/>
            <w:vAlign w:val="center"/>
          </w:tcPr>
          <w:p>
            <w:pPr>
              <w:widowControl w:val="0"/>
              <w:jc w:val="center"/>
              <w:rPr>
                <w:szCs w:val="18"/>
              </w:rPr>
            </w:pPr>
            <w:r>
              <w:rPr>
                <w:rFonts w:hint="eastAsia"/>
                <w:szCs w:val="18"/>
              </w:rPr>
              <w:t>办公室、会议室</w:t>
            </w:r>
          </w:p>
        </w:tc>
        <w:tc>
          <w:tcPr>
            <w:tcW w:w="2409" w:type="dxa"/>
            <w:vAlign w:val="center"/>
          </w:tcPr>
          <w:p>
            <w:pPr>
              <w:widowControl w:val="0"/>
              <w:jc w:val="center"/>
              <w:rPr>
                <w:szCs w:val="18"/>
              </w:rPr>
            </w:pPr>
            <w:r>
              <w:rPr>
                <w:szCs w:val="18"/>
              </w:rPr>
              <w:t>3.0</w:t>
            </w:r>
          </w:p>
        </w:tc>
        <w:tc>
          <w:tcPr>
            <w:tcW w:w="2984" w:type="dxa"/>
            <w:vAlign w:val="center"/>
          </w:tcPr>
          <w:p>
            <w:pPr>
              <w:widowControl w:val="0"/>
              <w:jc w:val="center"/>
              <w:rPr>
                <w:szCs w:val="18"/>
              </w:rPr>
            </w:pPr>
            <w:r>
              <w:rPr>
                <w:szCs w:val="18"/>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jc w:val="center"/>
              <w:rPr>
                <w:szCs w:val="18"/>
              </w:rPr>
            </w:pPr>
            <w:r>
              <w:rPr>
                <w:rFonts w:hint="eastAsia"/>
                <w:szCs w:val="18"/>
              </w:rPr>
              <w:t>Ⅳ</w:t>
            </w:r>
          </w:p>
        </w:tc>
        <w:tc>
          <w:tcPr>
            <w:tcW w:w="2552" w:type="dxa"/>
            <w:vAlign w:val="center"/>
          </w:tcPr>
          <w:p>
            <w:pPr>
              <w:widowControl w:val="0"/>
              <w:jc w:val="center"/>
              <w:rPr>
                <w:szCs w:val="18"/>
              </w:rPr>
            </w:pPr>
            <w:r>
              <w:rPr>
                <w:rFonts w:hint="eastAsia"/>
                <w:szCs w:val="18"/>
              </w:rPr>
              <w:t>复印室、档案室</w:t>
            </w:r>
          </w:p>
        </w:tc>
        <w:tc>
          <w:tcPr>
            <w:tcW w:w="2409" w:type="dxa"/>
            <w:vAlign w:val="center"/>
          </w:tcPr>
          <w:p>
            <w:pPr>
              <w:widowControl w:val="0"/>
              <w:jc w:val="center"/>
              <w:rPr>
                <w:szCs w:val="18"/>
              </w:rPr>
            </w:pPr>
            <w:r>
              <w:rPr>
                <w:szCs w:val="18"/>
              </w:rPr>
              <w:t>2.0</w:t>
            </w:r>
          </w:p>
        </w:tc>
        <w:tc>
          <w:tcPr>
            <w:tcW w:w="2984" w:type="dxa"/>
            <w:vAlign w:val="center"/>
          </w:tcPr>
          <w:p>
            <w:pPr>
              <w:widowControl w:val="0"/>
              <w:jc w:val="center"/>
              <w:rPr>
                <w:szCs w:val="18"/>
              </w:rPr>
            </w:pPr>
            <w:r>
              <w:rPr>
                <w:szCs w:val="18"/>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jc w:val="center"/>
              <w:rPr>
                <w:szCs w:val="18"/>
              </w:rPr>
            </w:pPr>
            <w:r>
              <w:rPr>
                <w:rFonts w:hint="eastAsia"/>
                <w:szCs w:val="18"/>
              </w:rPr>
              <w:t>Ⅴ</w:t>
            </w:r>
          </w:p>
        </w:tc>
        <w:tc>
          <w:tcPr>
            <w:tcW w:w="2552" w:type="dxa"/>
            <w:vAlign w:val="center"/>
          </w:tcPr>
          <w:p>
            <w:pPr>
              <w:widowControl w:val="0"/>
              <w:jc w:val="center"/>
              <w:rPr>
                <w:szCs w:val="18"/>
              </w:rPr>
            </w:pPr>
            <w:r>
              <w:rPr>
                <w:rFonts w:hint="eastAsia"/>
                <w:szCs w:val="18"/>
              </w:rPr>
              <w:t>走道、楼梯间、卫生间</w:t>
            </w:r>
          </w:p>
        </w:tc>
        <w:tc>
          <w:tcPr>
            <w:tcW w:w="2409" w:type="dxa"/>
            <w:vAlign w:val="center"/>
          </w:tcPr>
          <w:p>
            <w:pPr>
              <w:widowControl w:val="0"/>
              <w:jc w:val="center"/>
              <w:rPr>
                <w:szCs w:val="18"/>
              </w:rPr>
            </w:pPr>
            <w:r>
              <w:rPr>
                <w:szCs w:val="18"/>
              </w:rPr>
              <w:t>1.0</w:t>
            </w:r>
          </w:p>
        </w:tc>
        <w:tc>
          <w:tcPr>
            <w:tcW w:w="2984" w:type="dxa"/>
            <w:vAlign w:val="center"/>
          </w:tcPr>
          <w:p>
            <w:pPr>
              <w:widowControl w:val="0"/>
              <w:jc w:val="center"/>
              <w:rPr>
                <w:szCs w:val="18"/>
              </w:rPr>
            </w:pPr>
            <w:r>
              <w:rPr>
                <w:szCs w:val="18"/>
              </w:rPr>
              <w:t>150</w:t>
            </w:r>
          </w:p>
        </w:tc>
      </w:tr>
      <w:bookmarkEnd w:id="3"/>
    </w:tbl>
    <w:p>
      <w:pPr>
        <w:ind w:firstLine="420"/>
        <w:jc w:val="left"/>
        <w:rPr>
          <w:rFonts w:ascii="微软雅黑" w:hAnsi="微软雅黑" w:eastAsia="微软雅黑"/>
        </w:rPr>
      </w:pPr>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pPr>
              <w:widowControl w:val="0"/>
              <w:jc w:val="center"/>
              <w:rPr>
                <w:szCs w:val="21"/>
              </w:rPr>
            </w:pPr>
            <w:r>
              <w:rPr>
                <w:rFonts w:hint="eastAsia"/>
                <w:szCs w:val="21"/>
              </w:rPr>
              <w:t>采光等级</w:t>
            </w:r>
          </w:p>
        </w:tc>
        <w:tc>
          <w:tcPr>
            <w:tcW w:w="2552" w:type="dxa"/>
            <w:vMerge w:val="restart"/>
            <w:vAlign w:val="center"/>
          </w:tcPr>
          <w:p>
            <w:pPr>
              <w:widowControl w:val="0"/>
              <w:jc w:val="center"/>
              <w:rPr>
                <w:szCs w:val="21"/>
              </w:rPr>
            </w:pPr>
            <w:r>
              <w:rPr>
                <w:rFonts w:hint="eastAsia"/>
                <w:szCs w:val="21"/>
              </w:rPr>
              <w:t>场所名称</w:t>
            </w:r>
          </w:p>
        </w:tc>
        <w:tc>
          <w:tcPr>
            <w:tcW w:w="5386" w:type="dxa"/>
            <w:gridSpan w:val="2"/>
            <w:vAlign w:val="center"/>
          </w:tcPr>
          <w:p>
            <w:pPr>
              <w:widowControl w:val="0"/>
              <w:jc w:val="center"/>
              <w:rPr>
                <w:szCs w:val="21"/>
              </w:rPr>
            </w:pPr>
            <w:r>
              <w:rPr>
                <w:rFonts w:hint="eastAsia"/>
                <w:szCs w:val="21"/>
              </w:rPr>
              <w:t>侧面采光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pPr>
              <w:widowControl w:val="0"/>
              <w:jc w:val="center"/>
              <w:rPr>
                <w:szCs w:val="21"/>
              </w:rPr>
            </w:pPr>
          </w:p>
        </w:tc>
        <w:tc>
          <w:tcPr>
            <w:tcW w:w="2552" w:type="dxa"/>
            <w:vMerge w:val="continue"/>
            <w:vAlign w:val="center"/>
          </w:tcPr>
          <w:p>
            <w:pPr>
              <w:widowControl w:val="0"/>
              <w:jc w:val="center"/>
              <w:rPr>
                <w:szCs w:val="21"/>
              </w:rPr>
            </w:pPr>
          </w:p>
        </w:tc>
        <w:tc>
          <w:tcPr>
            <w:tcW w:w="2693" w:type="dxa"/>
            <w:vAlign w:val="center"/>
          </w:tcPr>
          <w:p>
            <w:pPr>
              <w:widowControl w:val="0"/>
              <w:jc w:val="center"/>
              <w:rPr>
                <w:szCs w:val="21"/>
              </w:rPr>
            </w:pPr>
            <w:r>
              <w:rPr>
                <w:rFonts w:hint="eastAsia"/>
                <w:szCs w:val="21"/>
              </w:rPr>
              <w:t>采光系数标准值</w:t>
            </w:r>
          </w:p>
          <w:p>
            <w:pPr>
              <w:widowControl w:val="0"/>
              <w:jc w:val="center"/>
              <w:rPr>
                <w:szCs w:val="21"/>
              </w:rPr>
            </w:pPr>
            <w:r>
              <w:t>（%）</w:t>
            </w:r>
          </w:p>
        </w:tc>
        <w:tc>
          <w:tcPr>
            <w:tcW w:w="2693" w:type="dxa"/>
            <w:vAlign w:val="center"/>
          </w:tcPr>
          <w:p>
            <w:pPr>
              <w:widowControl w:val="0"/>
              <w:jc w:val="center"/>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pPr>
              <w:widowControl w:val="0"/>
              <w:jc w:val="center"/>
              <w:rPr>
                <w:szCs w:val="21"/>
              </w:rPr>
            </w:pPr>
            <w:r>
              <w:rPr>
                <w:rFonts w:hint="eastAsia"/>
                <w:szCs w:val="21"/>
              </w:rPr>
              <w:t>Ⅲ</w:t>
            </w:r>
          </w:p>
        </w:tc>
        <w:tc>
          <w:tcPr>
            <w:tcW w:w="2552" w:type="dxa"/>
            <w:vAlign w:val="center"/>
          </w:tcPr>
          <w:p>
            <w:pPr>
              <w:widowControl w:val="0"/>
              <w:jc w:val="center"/>
              <w:rPr>
                <w:szCs w:val="21"/>
              </w:rPr>
            </w:pPr>
            <w:r>
              <w:rPr>
                <w:rFonts w:hint="eastAsia"/>
                <w:szCs w:val="21"/>
              </w:rPr>
              <w:t>专用教室、实验室、阶梯教室、教师办公室</w:t>
            </w:r>
          </w:p>
        </w:tc>
        <w:tc>
          <w:tcPr>
            <w:tcW w:w="2693" w:type="dxa"/>
            <w:vAlign w:val="center"/>
          </w:tcPr>
          <w:p>
            <w:pPr>
              <w:widowControl w:val="0"/>
              <w:jc w:val="center"/>
              <w:rPr>
                <w:szCs w:val="21"/>
              </w:rPr>
            </w:pPr>
            <w:r>
              <w:rPr>
                <w:rFonts w:hint="eastAsia"/>
                <w:szCs w:val="21"/>
              </w:rPr>
              <w:t>3.0</w:t>
            </w:r>
          </w:p>
        </w:tc>
        <w:tc>
          <w:tcPr>
            <w:tcW w:w="2693" w:type="dxa"/>
            <w:vAlign w:val="center"/>
          </w:tcPr>
          <w:p>
            <w:pPr>
              <w:widowControl w:val="0"/>
              <w:jc w:val="center"/>
              <w:rPr>
                <w:szCs w:val="21"/>
              </w:rPr>
            </w:pPr>
            <w:r>
              <w:rPr>
                <w:rFonts w:hint="eastAsia"/>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pPr>
              <w:widowControl w:val="0"/>
              <w:jc w:val="center"/>
              <w:rPr>
                <w:szCs w:val="21"/>
              </w:rPr>
            </w:pPr>
            <w:r>
              <w:rPr>
                <w:rFonts w:hint="eastAsia"/>
                <w:szCs w:val="21"/>
              </w:rPr>
              <w:t>Ⅴ</w:t>
            </w:r>
          </w:p>
        </w:tc>
        <w:tc>
          <w:tcPr>
            <w:tcW w:w="2552" w:type="dxa"/>
            <w:vAlign w:val="center"/>
          </w:tcPr>
          <w:p>
            <w:pPr>
              <w:widowControl w:val="0"/>
              <w:jc w:val="center"/>
              <w:rPr>
                <w:szCs w:val="21"/>
              </w:rPr>
            </w:pPr>
            <w:r>
              <w:rPr>
                <w:rFonts w:hint="eastAsia"/>
                <w:szCs w:val="21"/>
              </w:rPr>
              <w:t>走道、楼梯间、卫生间</w:t>
            </w:r>
          </w:p>
        </w:tc>
        <w:tc>
          <w:tcPr>
            <w:tcW w:w="2693" w:type="dxa"/>
            <w:vAlign w:val="center"/>
          </w:tcPr>
          <w:p>
            <w:pPr>
              <w:widowControl w:val="0"/>
              <w:jc w:val="center"/>
              <w:rPr>
                <w:szCs w:val="21"/>
              </w:rPr>
            </w:pPr>
            <w:r>
              <w:rPr>
                <w:rFonts w:hint="eastAsia"/>
                <w:szCs w:val="21"/>
              </w:rPr>
              <w:t>1.0</w:t>
            </w:r>
          </w:p>
          <w:p>
            <w:pPr>
              <w:widowControl w:val="0"/>
              <w:jc w:val="center"/>
              <w:rPr>
                <w:szCs w:val="21"/>
              </w:rPr>
            </w:pPr>
          </w:p>
          <w:p>
            <w:pPr>
              <w:widowControl w:val="0"/>
              <w:jc w:val="center"/>
              <w:rPr>
                <w:szCs w:val="21"/>
              </w:rPr>
            </w:pPr>
          </w:p>
          <w:p>
            <w:pPr>
              <w:widowControl w:val="0"/>
              <w:jc w:val="center"/>
              <w:rPr>
                <w:szCs w:val="21"/>
              </w:rPr>
            </w:pPr>
          </w:p>
          <w:p>
            <w:pPr>
              <w:widowControl w:val="0"/>
              <w:jc w:val="center"/>
              <w:rPr>
                <w:szCs w:val="21"/>
              </w:rPr>
            </w:pPr>
          </w:p>
        </w:tc>
        <w:tc>
          <w:tcPr>
            <w:tcW w:w="2693" w:type="dxa"/>
            <w:vAlign w:val="center"/>
          </w:tcPr>
          <w:p>
            <w:pPr>
              <w:widowControl w:val="0"/>
              <w:jc w:val="center"/>
              <w:rPr>
                <w:szCs w:val="21"/>
              </w:rPr>
            </w:pPr>
            <w:r>
              <w:rPr>
                <w:rFonts w:hint="eastAsia"/>
                <w:szCs w:val="21"/>
              </w:rPr>
              <w:t>150</w:t>
            </w:r>
          </w:p>
        </w:tc>
      </w:tr>
      <w:bookmarkEnd w:id="1"/>
    </w:tbl>
    <w:p>
      <w:pPr>
        <w:spacing w:line="288" w:lineRule="auto"/>
        <w:ind w:firstLine="180" w:firstLineChars="100"/>
        <w:jc w:val="left"/>
        <w:rPr>
          <w:rFonts w:ascii="微软雅黑" w:hAnsi="微软雅黑" w:eastAsia="微软雅黑"/>
        </w:rPr>
      </w:pPr>
      <w:r>
        <w:rPr>
          <w:rFonts w:ascii="微软雅黑" w:hAnsi="微软雅黑" w:eastAsia="微软雅黑"/>
        </w:rPr>
        <w:t>4.0.</w:t>
      </w:r>
      <w:r>
        <w:rPr>
          <w:rFonts w:hint="eastAsia" w:ascii="微软雅黑" w:hAnsi="微软雅黑" w:eastAsia="微软雅黑"/>
        </w:rPr>
        <w:t>14</w:t>
      </w:r>
      <w:r>
        <w:rPr>
          <w:rFonts w:ascii="微软雅黑" w:hAnsi="微软雅黑" w:eastAsia="微软雅黑"/>
        </w:rPr>
        <w:t xml:space="preserve">  </w:t>
      </w:r>
      <w:r>
        <w:rPr>
          <w:rFonts w:hint="eastAsia" w:ascii="微软雅黑" w:hAnsi="微软雅黑" w:eastAsia="微软雅黑"/>
        </w:rPr>
        <w:t>体育建筑的采光标准值不应低于表4.0.14的规定。</w:t>
      </w:r>
    </w:p>
    <w:p>
      <w:pPr>
        <w:pStyle w:val="16"/>
        <w:ind w:left="902" w:firstLine="0" w:firstLineChars="0"/>
        <w:jc w:val="center"/>
        <w:rPr>
          <w:szCs w:val="21"/>
        </w:rPr>
      </w:pPr>
      <w:r>
        <w:rPr>
          <w:rFonts w:hint="eastAsia"/>
          <w:szCs w:val="21"/>
        </w:rPr>
        <w:t>表</w:t>
      </w:r>
      <w:r>
        <w:rPr>
          <w:szCs w:val="21"/>
        </w:rPr>
        <w:t>4.0.</w:t>
      </w:r>
      <w:r>
        <w:rPr>
          <w:rFonts w:hint="eastAsia"/>
          <w:szCs w:val="21"/>
        </w:rPr>
        <w:t>14</w:t>
      </w:r>
      <w:r>
        <w:rPr>
          <w:szCs w:val="21"/>
        </w:rPr>
        <w:t xml:space="preserve">  </w:t>
      </w:r>
      <w:r>
        <w:rPr>
          <w:rFonts w:hint="eastAsia"/>
          <w:szCs w:val="21"/>
        </w:rPr>
        <w:t>体育建筑的采光标准值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709"/>
        <w:gridCol w:w="1134"/>
        <w:gridCol w:w="1559"/>
        <w:gridCol w:w="1134"/>
        <w:gridCol w:w="14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jc w:val="center"/>
              <w:rPr>
                <w:szCs w:val="18"/>
              </w:rPr>
            </w:pPr>
            <w:r>
              <w:rPr>
                <w:rFonts w:hint="eastAsia"/>
                <w:szCs w:val="18"/>
              </w:rPr>
              <w:t>采光等级</w:t>
            </w:r>
          </w:p>
        </w:tc>
        <w:tc>
          <w:tcPr>
            <w:tcW w:w="2709" w:type="dxa"/>
            <w:vMerge w:val="restart"/>
            <w:tcBorders>
              <w:top w:val="single" w:color="auto" w:sz="12"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pPr>
              <w:jc w:val="center"/>
            </w:pPr>
            <w:r>
              <w:rPr>
                <w:rFonts w:hint="eastAsia"/>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pPr>
              <w:jc w:val="center"/>
            </w:pPr>
            <w:r>
              <w:rPr>
                <w:rFonts w:hint="eastAsia"/>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jc w:val="center"/>
              <w:rPr>
                <w:szCs w:val="18"/>
              </w:rPr>
            </w:pPr>
          </w:p>
        </w:tc>
        <w:tc>
          <w:tcPr>
            <w:tcW w:w="2709"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室</w:t>
            </w:r>
            <w:r>
              <w:rPr>
                <w:rFonts w:hint="eastAsia"/>
                <w:szCs w:val="21"/>
              </w:rPr>
              <w:t>内</w:t>
            </w:r>
            <w:r>
              <w:rPr>
                <w:rFonts w:hint="eastAsia"/>
              </w:rPr>
              <w:t>天然光</w:t>
            </w:r>
          </w:p>
          <w:p>
            <w:pPr>
              <w:jc w:val="center"/>
            </w:pPr>
            <w:r>
              <w:rPr>
                <w:rFonts w:hint="eastAsia"/>
              </w:rPr>
              <w:t>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pPr>
              <w:jc w:val="center"/>
            </w:pPr>
            <w:r>
              <w:rPr>
                <w:rFonts w:hint="eastAsia"/>
              </w:rPr>
              <w:t>室</w:t>
            </w:r>
            <w:r>
              <w:rPr>
                <w:rFonts w:hint="eastAsia"/>
                <w:szCs w:val="21"/>
              </w:rPr>
              <w:t>内</w:t>
            </w:r>
            <w:r>
              <w:rPr>
                <w:rFonts w:hint="eastAsia"/>
              </w:rPr>
              <w:t>天然光</w:t>
            </w:r>
          </w:p>
          <w:p>
            <w:pPr>
              <w:jc w:val="center"/>
            </w:pPr>
            <w:r>
              <w:rPr>
                <w:rFonts w:hint="eastAsia"/>
              </w:rPr>
              <w:t>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0"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jc w:val="center"/>
              <w:rPr>
                <w:szCs w:val="18"/>
              </w:rPr>
            </w:pPr>
            <w:r>
              <w:rPr>
                <w:rFonts w:hint="eastAsia"/>
                <w:szCs w:val="18"/>
              </w:rPr>
              <w:t>Ⅳ</w:t>
            </w:r>
          </w:p>
        </w:tc>
        <w:tc>
          <w:tcPr>
            <w:tcW w:w="2709" w:type="dxa"/>
            <w:tcBorders>
              <w:top w:val="single" w:color="auto" w:sz="4" w:space="0"/>
              <w:left w:val="single" w:color="auto" w:sz="4" w:space="0"/>
              <w:bottom w:val="single" w:color="auto" w:sz="4" w:space="0"/>
              <w:right w:val="single" w:color="auto" w:sz="4" w:space="0"/>
            </w:tcBorders>
            <w:vAlign w:val="center"/>
          </w:tcPr>
          <w:p>
            <w:pPr>
              <w:widowControl w:val="0"/>
              <w:jc w:val="both"/>
              <w:rPr>
                <w:szCs w:val="18"/>
              </w:rPr>
            </w:pPr>
            <w:r>
              <w:rPr>
                <w:rFonts w:hint="eastAsia"/>
                <w:szCs w:val="18"/>
              </w:rPr>
              <w:t>体育馆场地、观众入口大厅、休息厅、运动员休息室、</w:t>
            </w:r>
          </w:p>
          <w:p>
            <w:pPr>
              <w:widowControl w:val="0"/>
              <w:jc w:val="both"/>
              <w:rPr>
                <w:szCs w:val="18"/>
              </w:rPr>
            </w:pPr>
            <w:r>
              <w:rPr>
                <w:rFonts w:hint="eastAsia"/>
                <w:szCs w:val="18"/>
              </w:rPr>
              <w:t>治疗室、贵宾厅、裁判用房</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300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1.0</w:t>
            </w:r>
          </w:p>
        </w:tc>
        <w:tc>
          <w:tcPr>
            <w:tcW w:w="1498" w:type="dxa"/>
            <w:tcBorders>
              <w:top w:val="single" w:color="auto" w:sz="4" w:space="0"/>
              <w:left w:val="single" w:color="auto" w:sz="4" w:space="0"/>
              <w:bottom w:val="single" w:color="auto" w:sz="4" w:space="0"/>
              <w:right w:val="single" w:color="auto" w:sz="12" w:space="0"/>
            </w:tcBorders>
            <w:vAlign w:val="center"/>
          </w:tcPr>
          <w:p>
            <w:pPr>
              <w:jc w:val="center"/>
            </w:pPr>
            <w:r>
              <w:rPr>
                <w:rFonts w:hint="eastAsia"/>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jc w:val="center"/>
              <w:rPr>
                <w:szCs w:val="18"/>
              </w:rPr>
            </w:pPr>
            <w:r>
              <w:rPr>
                <w:rFonts w:hint="eastAsia"/>
                <w:szCs w:val="18"/>
              </w:rPr>
              <w:t>Ⅴ</w:t>
            </w:r>
          </w:p>
        </w:tc>
        <w:tc>
          <w:tcPr>
            <w:tcW w:w="2709" w:type="dxa"/>
            <w:tcBorders>
              <w:top w:val="single" w:color="auto" w:sz="4" w:space="0"/>
              <w:left w:val="single" w:color="auto" w:sz="4" w:space="0"/>
              <w:bottom w:val="single" w:color="auto" w:sz="12" w:space="0"/>
              <w:right w:val="single" w:color="auto" w:sz="4" w:space="0"/>
            </w:tcBorders>
            <w:vAlign w:val="center"/>
          </w:tcPr>
          <w:p>
            <w:pPr>
              <w:widowControl w:val="0"/>
              <w:jc w:val="both"/>
              <w:rPr>
                <w:szCs w:val="18"/>
              </w:rPr>
            </w:pPr>
            <w:r>
              <w:rPr>
                <w:rFonts w:hint="eastAsia"/>
                <w:szCs w:val="18"/>
              </w:rPr>
              <w:t>浴室、楼梯间、卫生间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jc w:val="center"/>
            </w:pPr>
            <w:r>
              <w:rPr>
                <w:rFonts w:hint="eastAsia"/>
              </w:rPr>
              <w:t>1.0</w:t>
            </w:r>
          </w:p>
        </w:tc>
        <w:tc>
          <w:tcPr>
            <w:tcW w:w="1559" w:type="dxa"/>
            <w:tcBorders>
              <w:top w:val="single" w:color="auto" w:sz="4" w:space="0"/>
              <w:left w:val="single" w:color="auto" w:sz="4" w:space="0"/>
              <w:bottom w:val="single" w:color="auto" w:sz="12" w:space="0"/>
              <w:right w:val="single" w:color="auto" w:sz="4" w:space="0"/>
            </w:tcBorders>
            <w:vAlign w:val="center"/>
          </w:tcPr>
          <w:p>
            <w:pPr>
              <w:jc w:val="center"/>
            </w:pPr>
            <w:r>
              <w:rPr>
                <w:rFonts w:hint="eastAsia"/>
              </w:rPr>
              <w:t>150</w:t>
            </w:r>
          </w:p>
        </w:tc>
        <w:tc>
          <w:tcPr>
            <w:tcW w:w="1134" w:type="dxa"/>
            <w:tcBorders>
              <w:top w:val="single" w:color="auto" w:sz="4" w:space="0"/>
              <w:left w:val="single" w:color="auto" w:sz="4" w:space="0"/>
              <w:bottom w:val="single" w:color="auto" w:sz="12" w:space="0"/>
              <w:right w:val="single" w:color="auto" w:sz="4" w:space="0"/>
            </w:tcBorders>
            <w:vAlign w:val="center"/>
          </w:tcPr>
          <w:p>
            <w:pPr>
              <w:jc w:val="center"/>
            </w:pPr>
            <w:r>
              <w:rPr>
                <w:rFonts w:hint="eastAsia"/>
              </w:rPr>
              <w:t>0.5</w:t>
            </w:r>
          </w:p>
        </w:tc>
        <w:tc>
          <w:tcPr>
            <w:tcW w:w="1498" w:type="dxa"/>
            <w:tcBorders>
              <w:top w:val="single" w:color="auto" w:sz="4" w:space="0"/>
              <w:left w:val="single" w:color="auto" w:sz="4" w:space="0"/>
              <w:bottom w:val="single" w:color="auto" w:sz="12" w:space="0"/>
              <w:right w:val="single" w:color="auto" w:sz="12" w:space="0"/>
            </w:tcBorders>
            <w:vAlign w:val="center"/>
          </w:tcPr>
          <w:p>
            <w:pPr>
              <w:jc w:val="center"/>
            </w:pPr>
            <w:r>
              <w:rPr>
                <w:rFonts w:hint="eastAsia"/>
              </w:rPr>
              <w:t>75</w:t>
            </w:r>
          </w:p>
        </w:tc>
      </w:tr>
      <w:bookmarkEnd w:id="9"/>
    </w:tbl>
    <w:p>
      <w:pPr>
        <w:pStyle w:val="2"/>
        <w:ind w:left="432" w:hanging="432"/>
        <w:rPr>
          <w:rFonts w:ascii="微软雅黑" w:hAnsi="微软雅黑"/>
        </w:rPr>
      </w:pPr>
      <w:bookmarkStart w:id="28" w:name="_Toc264043625"/>
      <w:bookmarkStart w:id="29" w:name="_Toc264569232"/>
      <w:bookmarkStart w:id="30" w:name="_Toc275165382"/>
      <w:bookmarkStart w:id="31" w:name="_Toc290209336"/>
      <w:bookmarkStart w:id="32" w:name="_Toc290149054"/>
      <w:bookmarkStart w:id="33" w:name="_Toc290209312"/>
      <w:bookmarkStart w:id="34" w:name="_Toc312399791"/>
      <w:bookmarkStart w:id="35" w:name="_Toc14767"/>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23559"/>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312399796"/>
      <w:bookmarkStart w:id="38" w:name="_Toc275165387"/>
      <w:bookmarkStart w:id="39" w:name="_Toc290149059"/>
      <w:bookmarkStart w:id="40" w:name="_Toc264043630"/>
      <w:bookmarkStart w:id="41" w:name="_Toc290209317"/>
      <w:bookmarkStart w:id="42" w:name="_Toc290209341"/>
      <w:bookmarkStart w:id="43" w:name="_Toc26456923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20901"/>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32073"/>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11667"/>
      <w:r>
        <w:rPr>
          <w:rFonts w:hint="eastAsia"/>
        </w:rPr>
        <w:t>采光计算</w:t>
      </w:r>
      <w:r>
        <w:t>参数</w:t>
      </w:r>
      <w:r>
        <w:rPr>
          <w:rFonts w:hint="eastAsia"/>
        </w:rPr>
        <w:t>取值</w:t>
      </w:r>
      <w:bookmarkEnd w:id="47"/>
    </w:p>
    <w:p>
      <w:pPr>
        <w:pStyle w:val="4"/>
      </w:pPr>
      <w:bookmarkStart w:id="48" w:name="_Toc264043629"/>
      <w:bookmarkStart w:id="49" w:name="_Toc275165386"/>
      <w:bookmarkStart w:id="50" w:name="_Toc264569236"/>
      <w:bookmarkStart w:id="51" w:name="_Toc290149058"/>
      <w:bookmarkStart w:id="52" w:name="_Toc290209316"/>
      <w:bookmarkStart w:id="53" w:name="_Toc290209340"/>
      <w:bookmarkStart w:id="54" w:name="_Toc312399795"/>
      <w:bookmarkStart w:id="55" w:name="_Toc14598"/>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24553"/>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0.30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29951"/>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10283"/>
      <w:bookmarkStart w:id="71" w:name="窗"/>
      <w:r>
        <w:rPr>
          <w:rFonts w:hint="eastAsia"/>
        </w:rPr>
        <w:t>普通窗</w:t>
      </w:r>
      <w:bookmarkEnd w:id="70"/>
    </w:p>
    <w:bookmarkEnd w:id="71"/>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p>
        </w:tc>
        <w:tc>
          <w:tcPr>
            <w:vAlign w:val="center"/>
          </w:tcPr>
          <w:p>
            <w:pPr>
              <w:jc w:val="center"/>
              <w:rPr>
                <w:sz w:val="18"/>
                <w:szCs w:val="18"/>
              </w:rPr>
            </w:pPr>
            <w:r>
              <w:rPr>
                <w:sz w:val="18"/>
                <w:szCs w:val="18"/>
              </w:rPr>
              <w:t>1200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1</w:t>
            </w:r>
          </w:p>
        </w:tc>
        <w:tc>
          <w:tcPr>
            <w:vAlign w:val="center"/>
          </w:tcPr>
          <w:p>
            <w:pPr>
              <w:jc w:val="center"/>
              <w:rPr>
                <w:sz w:val="18"/>
                <w:szCs w:val="18"/>
              </w:rPr>
            </w:pPr>
            <w:r>
              <w:rPr>
                <w:sz w:val="18"/>
                <w:szCs w:val="18"/>
              </w:rPr>
              <w:t>900</w:t>
            </w:r>
          </w:p>
        </w:tc>
        <w:tc>
          <w:tcPr>
            <w:vAlign w:val="center"/>
          </w:tcPr>
          <w:p>
            <w:pPr>
              <w:jc w:val="center"/>
              <w:rPr>
                <w:sz w:val="18"/>
                <w:szCs w:val="18"/>
              </w:rPr>
            </w:pPr>
            <w:r>
              <w:rPr>
                <w:sz w:val="18"/>
                <w:szCs w:val="18"/>
              </w:rPr>
              <w:t>2000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2</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3</w:t>
            </w:r>
          </w:p>
        </w:tc>
        <w:tc>
          <w:tcPr>
            <w:vAlign w:val="center"/>
          </w:tcPr>
          <w:p>
            <w:pPr>
              <w:jc w:val="center"/>
              <w:rPr>
                <w:sz w:val="18"/>
                <w:szCs w:val="18"/>
              </w:rPr>
            </w:pPr>
            <w:r>
              <w:rPr>
                <w:sz w:val="18"/>
                <w:szCs w:val="18"/>
              </w:rPr>
              <w:t>600</w:t>
            </w:r>
          </w:p>
        </w:tc>
        <w:tc>
          <w:tcPr>
            <w:vAlign w:val="center"/>
          </w:tcPr>
          <w:p>
            <w:pPr>
              <w:jc w:val="center"/>
              <w:rPr>
                <w:sz w:val="18"/>
                <w:szCs w:val="18"/>
              </w:rPr>
            </w:pPr>
            <w:r>
              <w:rPr>
                <w:sz w:val="18"/>
                <w:szCs w:val="18"/>
              </w:rPr>
              <w:t>2000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4</w:t>
            </w:r>
          </w:p>
        </w:tc>
        <w:tc>
          <w:tcPr>
            <w:vAlign w:val="center"/>
          </w:tcPr>
          <w:p>
            <w:pPr>
              <w:jc w:val="center"/>
              <w:rPr>
                <w:sz w:val="18"/>
                <w:szCs w:val="18"/>
              </w:rPr>
            </w:pPr>
            <w:r>
              <w:rPr>
                <w:sz w:val="18"/>
                <w:szCs w:val="18"/>
              </w:rPr>
              <w:t>1200</w:t>
            </w:r>
          </w:p>
        </w:tc>
        <w:tc>
          <w:tcPr>
            <w:vAlign w:val="center"/>
          </w:tcPr>
          <w:p>
            <w:pPr>
              <w:jc w:val="center"/>
              <w:rPr>
                <w:sz w:val="18"/>
                <w:szCs w:val="18"/>
              </w:rPr>
            </w:pPr>
            <w:r>
              <w:rPr>
                <w:sz w:val="18"/>
                <w:szCs w:val="18"/>
              </w:rPr>
              <w:t>2000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5</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2000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8</w:t>
            </w:r>
          </w:p>
        </w:tc>
        <w:tc>
          <w:tcPr>
            <w:vAlign w:val="center"/>
          </w:tcPr>
          <w:p>
            <w:pPr>
              <w:jc w:val="center"/>
              <w:rPr>
                <w:sz w:val="18"/>
                <w:szCs w:val="18"/>
              </w:rPr>
            </w:pPr>
            <w:r>
              <w:rPr>
                <w:sz w:val="18"/>
                <w:szCs w:val="18"/>
              </w:rPr>
              <w:t>900</w:t>
            </w:r>
          </w:p>
        </w:tc>
        <w:tc>
          <w:tcPr>
            <w:vAlign w:val="center"/>
          </w:tcPr>
          <w:p>
            <w:pPr>
              <w:jc w:val="center"/>
              <w:rPr>
                <w:sz w:val="18"/>
                <w:szCs w:val="18"/>
              </w:rPr>
            </w:pPr>
            <w:r>
              <w:rPr>
                <w:sz w:val="18"/>
                <w:szCs w:val="18"/>
              </w:rPr>
              <w:t>2000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透光门-13</w:t>
            </w:r>
          </w:p>
        </w:tc>
        <w:tc>
          <w:tcPr>
            <w:vAlign w:val="center"/>
          </w:tcPr>
          <w:p>
            <w:pPr>
              <w:jc w:val="center"/>
              <w:rPr>
                <w:sz w:val="18"/>
                <w:szCs w:val="18"/>
              </w:rPr>
            </w:pPr>
            <w:r>
              <w:rPr>
                <w:sz w:val="18"/>
                <w:szCs w:val="18"/>
              </w:rPr>
              <w:t>800</w:t>
            </w:r>
          </w:p>
        </w:tc>
        <w:tc>
          <w:tcPr>
            <w:vAlign w:val="center"/>
          </w:tcPr>
          <w:p>
            <w:pPr>
              <w:jc w:val="center"/>
              <w:rPr>
                <w:sz w:val="18"/>
                <w:szCs w:val="18"/>
              </w:rPr>
            </w:pPr>
            <w:r>
              <w:rPr>
                <w:sz w:val="18"/>
                <w:szCs w:val="18"/>
              </w:rPr>
              <w:t>2000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透光门-16</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2000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2" w:name="_Toc18505"/>
      <w:bookmarkStart w:id="73" w:name="幕墙"/>
      <w:r>
        <w:rPr>
          <w:rFonts w:hint="eastAsia"/>
        </w:rPr>
        <w:t>玻璃幕墙</w:t>
      </w:r>
      <w:bookmarkEnd w:id="72"/>
    </w:p>
    <w:bookmarkEnd w:id="73"/>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p>
        </w:tc>
        <w:tc>
          <w:tcPr>
            <w:vAlign w:val="center"/>
          </w:tcPr>
          <w:p>
            <w:pPr>
              <w:jc w:val="center"/>
              <w:rPr>
                <w:sz w:val="18"/>
                <w:szCs w:val="18"/>
              </w:rPr>
            </w:pPr>
            <w:r>
              <w:rPr>
                <w:sz w:val="18"/>
                <w:szCs w:val="18"/>
              </w:rPr>
              <w:t>1649</w:t>
            </w:r>
          </w:p>
        </w:tc>
        <w:tc>
          <w:tcPr>
            <w:vAlign w:val="center"/>
          </w:tcPr>
          <w:p>
            <w:pPr>
              <w:jc w:val="center"/>
              <w:rPr>
                <w:sz w:val="18"/>
                <w:szCs w:val="18"/>
              </w:rPr>
            </w:pPr>
            <w:r>
              <w:rPr>
                <w:sz w:val="18"/>
                <w:szCs w:val="18"/>
              </w:rPr>
              <w:t>4500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4" w:name="窗污染折减系数"/>
      <w:bookmarkEnd w:id="74"/>
    </w:p>
    <w:p>
      <w:pPr>
        <w:pStyle w:val="2"/>
        <w:ind w:left="432" w:hanging="432"/>
      </w:pPr>
      <w:bookmarkStart w:id="75" w:name="_Toc18492"/>
      <w:r>
        <w:rPr>
          <w:rFonts w:hint="eastAsia"/>
        </w:rPr>
        <w:t>房间模拟</w:t>
      </w:r>
      <w:r>
        <w:t>结果</w:t>
      </w:r>
      <w:bookmarkEnd w:id="75"/>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6" w:name="房间采光表"/>
      <w:bookmarkEnd w:id="76"/>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楼层</w:t>
            </w:r>
          </w:p>
        </w:tc>
        <w:tc>
          <w:tcPr>
            <w:shd w:val="clear" w:color="auto" w:fill="E6E6E6"/>
            <w:vAlign w:val="center"/>
          </w:tcPr>
          <w:p>
            <w:pPr>
              <w:jc w:val="center"/>
              <w:rPr>
                <w:sz w:val="18"/>
                <w:szCs w:val="18"/>
              </w:rPr>
            </w:pPr>
            <w:r>
              <w:rPr>
                <w:sz w:val="18"/>
                <w:szCs w:val="18"/>
              </w:rPr>
              <w:t>房间</w:t>
            </w:r>
          </w:p>
        </w:tc>
        <w:tc>
          <w:tcPr>
            <w:shd w:val="clear" w:color="auto" w:fill="E6E6E6"/>
            <w:vAlign w:val="center"/>
          </w:tcPr>
          <w:p>
            <w:pPr>
              <w:jc w:val="center"/>
              <w:rPr>
                <w:sz w:val="18"/>
                <w:szCs w:val="18"/>
              </w:rPr>
            </w:pPr>
            <w:r>
              <w:rPr>
                <w:sz w:val="18"/>
                <w:szCs w:val="18"/>
              </w:rPr>
              <w:t>对标功能</w:t>
            </w:r>
          </w:p>
        </w:tc>
        <w:tc>
          <w:tcPr>
            <w:shd w:val="clear" w:color="auto" w:fill="E6E6E6"/>
            <w:vAlign w:val="center"/>
          </w:tcPr>
          <w:p>
            <w:pPr>
              <w:jc w:val="center"/>
              <w:rPr>
                <w:sz w:val="18"/>
                <w:szCs w:val="18"/>
              </w:rPr>
            </w:pPr>
            <w:r>
              <w:rPr>
                <w:sz w:val="18"/>
                <w:szCs w:val="18"/>
              </w:rPr>
              <w:t>采光等级</w:t>
            </w:r>
          </w:p>
        </w:tc>
        <w:tc>
          <w:tcPr>
            <w:shd w:val="clear" w:color="auto" w:fill="E6E6E6"/>
            <w:vAlign w:val="center"/>
          </w:tcPr>
          <w:p>
            <w:pPr>
              <w:jc w:val="center"/>
              <w:rPr>
                <w:sz w:val="18"/>
                <w:szCs w:val="18"/>
              </w:rPr>
            </w:pPr>
            <w:r>
              <w:rPr>
                <w:sz w:val="18"/>
                <w:szCs w:val="18"/>
              </w:rPr>
              <w:t>采光类型</w:t>
            </w:r>
          </w:p>
        </w:tc>
        <w:tc>
          <w:tcPr>
            <w:shd w:val="clear" w:color="auto" w:fill="E6E6E6"/>
            <w:vAlign w:val="center"/>
          </w:tcPr>
          <w:p>
            <w:pPr>
              <w:jc w:val="center"/>
              <w:rPr>
                <w:sz w:val="18"/>
                <w:szCs w:val="18"/>
              </w:rPr>
            </w:pPr>
            <w:r>
              <w:rPr>
                <w:sz w:val="18"/>
                <w:szCs w:val="18"/>
              </w:rPr>
              <w:t>房间面积</w:t>
            </w:r>
          </w:p>
        </w:tc>
        <w:tc>
          <w:tcPr>
            <w:shd w:val="clear" w:color="auto" w:fill="E6E6E6"/>
            <w:vAlign w:val="center"/>
          </w:tcPr>
          <w:p>
            <w:pPr>
              <w:jc w:val="center"/>
              <w:rPr>
                <w:sz w:val="18"/>
                <w:szCs w:val="18"/>
              </w:rPr>
            </w:pPr>
            <w:r>
              <w:rPr>
                <w:sz w:val="18"/>
                <w:szCs w:val="18"/>
              </w:rPr>
              <w:t>采光系数C(%)</w:t>
            </w:r>
          </w:p>
        </w:tc>
        <w:tc>
          <w:tcPr>
            <w:shd w:val="clear" w:color="auto" w:fill="E6E6E6"/>
            <w:vAlign w:val="center"/>
          </w:tcPr>
          <w:p>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pPr>
              <w:jc w:val="center"/>
              <w:rPr>
                <w:sz w:val="18"/>
                <w:szCs w:val="18"/>
              </w:rPr>
            </w:pPr>
            <w:r>
              <w:rPr>
                <w:sz w:val="18"/>
                <w:szCs w:val="18"/>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18"/>
                <w:szCs w:val="18"/>
              </w:rPr>
            </w:pPr>
            <w:r>
              <w:rPr>
                <w:sz w:val="18"/>
                <w:szCs w:val="18"/>
              </w:rPr>
              <w:t>1</w:t>
            </w:r>
          </w:p>
        </w:tc>
        <w:tc>
          <w:tcPr>
            <w:vAlign w:val="center"/>
          </w:tcPr>
          <w:p>
            <w:pPr>
              <w:rPr>
                <w:sz w:val="18"/>
                <w:szCs w:val="18"/>
              </w:rPr>
            </w:pPr>
            <w:r>
              <w:rPr>
                <w:sz w:val="18"/>
                <w:szCs w:val="18"/>
              </w:rPr>
              <w:t>1027[体育场]</w:t>
            </w:r>
          </w:p>
        </w:tc>
        <w:tc>
          <w:tcPr>
            <w:vAlign w:val="center"/>
          </w:tcPr>
          <w:p>
            <w:pPr>
              <w:rPr>
                <w:sz w:val="18"/>
                <w:szCs w:val="18"/>
              </w:rPr>
            </w:pPr>
            <w:r>
              <w:rPr>
                <w:sz w:val="18"/>
                <w:szCs w:val="18"/>
              </w:rPr>
              <w:t>体育馆场地</w:t>
            </w:r>
          </w:p>
        </w:tc>
        <w:tc>
          <w:tcPr>
            <w:vAlign w:val="center"/>
          </w:tcPr>
          <w:p>
            <w:pPr>
              <w:rPr>
                <w:sz w:val="18"/>
                <w:szCs w:val="18"/>
              </w:rPr>
            </w:pPr>
            <w:r>
              <w:rPr>
                <w:sz w:val="18"/>
                <w:szCs w:val="18"/>
              </w:rPr>
              <w:t>IV</w:t>
            </w:r>
          </w:p>
        </w:tc>
        <w:tc>
          <w:tcPr>
            <w:vAlign w:val="center"/>
          </w:tcPr>
          <w:p>
            <w:pPr>
              <w:rPr>
                <w:sz w:val="18"/>
                <w:szCs w:val="18"/>
              </w:rPr>
            </w:pPr>
            <w:r>
              <w:rPr>
                <w:sz w:val="18"/>
                <w:szCs w:val="18"/>
              </w:rPr>
              <w:t>混合</w:t>
            </w:r>
          </w:p>
        </w:tc>
        <w:tc>
          <w:tcPr>
            <w:vAlign w:val="center"/>
          </w:tcPr>
          <w:p>
            <w:pPr>
              <w:rPr>
                <w:sz w:val="18"/>
                <w:szCs w:val="18"/>
              </w:rPr>
            </w:pPr>
            <w:r>
              <w:rPr>
                <w:sz w:val="18"/>
                <w:szCs w:val="18"/>
              </w:rPr>
              <w:t>887.57</w:t>
            </w:r>
          </w:p>
        </w:tc>
        <w:tc>
          <w:tcPr>
            <w:vAlign w:val="center"/>
          </w:tcPr>
          <w:p>
            <w:pPr>
              <w:rPr>
                <w:sz w:val="18"/>
                <w:szCs w:val="18"/>
              </w:rPr>
            </w:pPr>
            <w:r>
              <w:rPr>
                <w:sz w:val="18"/>
                <w:szCs w:val="18"/>
              </w:rPr>
              <w:t>1.55</w:t>
            </w:r>
          </w:p>
        </w:tc>
        <w:tc>
          <w:tcPr>
            <w:vAlign w:val="center"/>
          </w:tcPr>
          <w:p>
            <w:pPr>
              <w:rPr>
                <w:sz w:val="18"/>
                <w:szCs w:val="18"/>
              </w:rPr>
            </w:pPr>
            <w:r>
              <w:rPr>
                <w:sz w:val="18"/>
                <w:szCs w:val="18"/>
              </w:rPr>
              <w:t>1.00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18"/>
                <w:szCs w:val="18"/>
              </w:rPr>
            </w:pPr>
            <w:r>
              <w:rPr>
                <w:sz w:val="18"/>
                <w:szCs w:val="18"/>
              </w:rPr>
              <w:t>2</w:t>
            </w:r>
          </w:p>
        </w:tc>
        <w:tc>
          <w:tcPr>
            <w:vAlign w:val="center"/>
          </w:tcPr>
          <w:p>
            <w:pPr>
              <w:rPr>
                <w:sz w:val="18"/>
                <w:szCs w:val="18"/>
              </w:rPr>
            </w:pPr>
            <w:r>
              <w:rPr>
                <w:sz w:val="18"/>
                <w:szCs w:val="18"/>
              </w:rPr>
              <w:t>1019[普通教室]</w:t>
            </w:r>
          </w:p>
        </w:tc>
        <w:tc>
          <w:tcPr>
            <w:vAlign w:val="center"/>
          </w:tcPr>
          <w:p>
            <w:pPr>
              <w:rPr>
                <w:sz w:val="18"/>
                <w:szCs w:val="18"/>
              </w:rPr>
            </w:pPr>
            <w:r>
              <w:rPr>
                <w:sz w:val="18"/>
                <w:szCs w:val="18"/>
              </w:rPr>
              <w:t>普通教室</w:t>
            </w:r>
          </w:p>
        </w:tc>
        <w:tc>
          <w:tcPr>
            <w:vAlign w:val="center"/>
          </w:tcPr>
          <w:p>
            <w:pPr>
              <w:rPr>
                <w:sz w:val="18"/>
                <w:szCs w:val="18"/>
              </w:rPr>
            </w:pPr>
            <w:r>
              <w:rPr>
                <w:sz w:val="18"/>
                <w:szCs w:val="18"/>
              </w:rPr>
              <w:t>III</w:t>
            </w:r>
          </w:p>
        </w:tc>
        <w:tc>
          <w:tcPr>
            <w:vAlign w:val="center"/>
          </w:tcPr>
          <w:p>
            <w:pPr>
              <w:rPr>
                <w:sz w:val="18"/>
                <w:szCs w:val="18"/>
              </w:rPr>
            </w:pPr>
            <w:r>
              <w:rPr>
                <w:sz w:val="18"/>
                <w:szCs w:val="18"/>
              </w:rPr>
              <w:t>混合</w:t>
            </w:r>
          </w:p>
        </w:tc>
        <w:tc>
          <w:tcPr>
            <w:vAlign w:val="center"/>
          </w:tcPr>
          <w:p>
            <w:pPr>
              <w:rPr>
                <w:sz w:val="18"/>
                <w:szCs w:val="18"/>
              </w:rPr>
            </w:pPr>
            <w:r>
              <w:rPr>
                <w:sz w:val="18"/>
                <w:szCs w:val="18"/>
              </w:rPr>
              <w:t>34.57</w:t>
            </w:r>
          </w:p>
        </w:tc>
        <w:tc>
          <w:tcPr>
            <w:vAlign w:val="center"/>
          </w:tcPr>
          <w:p>
            <w:pPr>
              <w:rPr>
                <w:sz w:val="18"/>
                <w:szCs w:val="18"/>
              </w:rPr>
            </w:pPr>
            <w:r>
              <w:rPr>
                <w:sz w:val="18"/>
                <w:szCs w:val="18"/>
              </w:rPr>
              <w:t>3.68</w:t>
            </w:r>
          </w:p>
        </w:tc>
        <w:tc>
          <w:tcPr>
            <w:vAlign w:val="center"/>
          </w:tcPr>
          <w:p>
            <w:pPr>
              <w:rPr>
                <w:sz w:val="18"/>
                <w:szCs w:val="18"/>
              </w:rPr>
            </w:pPr>
            <w:r>
              <w:rPr>
                <w:sz w:val="18"/>
                <w:szCs w:val="18"/>
              </w:rPr>
              <w:t>2.00</w:t>
            </w:r>
          </w:p>
        </w:tc>
        <w:tc>
          <w:tcPr>
            <w:vAlign w:val="center"/>
          </w:tcPr>
          <w:p>
            <w:pPr>
              <w:rPr>
                <w:sz w:val="18"/>
                <w:szCs w:val="18"/>
              </w:rPr>
            </w:pPr>
            <w:r>
              <w:rPr>
                <w:b/>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1020[普通教室]</w:t>
            </w:r>
          </w:p>
        </w:tc>
        <w:tc>
          <w:tcPr>
            <w:vAlign w:val="center"/>
          </w:tcPr>
          <w:p>
            <w:pPr>
              <w:rPr>
                <w:sz w:val="18"/>
                <w:szCs w:val="18"/>
              </w:rPr>
            </w:pPr>
            <w:r>
              <w:rPr>
                <w:sz w:val="18"/>
                <w:szCs w:val="18"/>
              </w:rPr>
              <w:t>普通教室</w:t>
            </w:r>
          </w:p>
        </w:tc>
        <w:tc>
          <w:tcPr>
            <w:vAlign w:val="center"/>
          </w:tcPr>
          <w:p>
            <w:pPr>
              <w:rPr>
                <w:sz w:val="18"/>
                <w:szCs w:val="18"/>
              </w:rPr>
            </w:pPr>
            <w:r>
              <w:rPr>
                <w:sz w:val="18"/>
                <w:szCs w:val="18"/>
              </w:rPr>
              <w:t>III</w:t>
            </w:r>
          </w:p>
        </w:tc>
        <w:tc>
          <w:tcPr>
            <w:vAlign w:val="center"/>
          </w:tcPr>
          <w:p>
            <w:pPr>
              <w:rPr>
                <w:sz w:val="18"/>
                <w:szCs w:val="18"/>
              </w:rPr>
            </w:pPr>
            <w:r>
              <w:rPr>
                <w:sz w:val="18"/>
                <w:szCs w:val="18"/>
              </w:rPr>
              <w:t>混合</w:t>
            </w:r>
          </w:p>
        </w:tc>
        <w:tc>
          <w:tcPr>
            <w:vAlign w:val="center"/>
          </w:tcPr>
          <w:p>
            <w:pPr>
              <w:rPr>
                <w:sz w:val="18"/>
                <w:szCs w:val="18"/>
              </w:rPr>
            </w:pPr>
            <w:r>
              <w:rPr>
                <w:sz w:val="18"/>
                <w:szCs w:val="18"/>
              </w:rPr>
              <w:t>34.50</w:t>
            </w:r>
          </w:p>
        </w:tc>
        <w:tc>
          <w:tcPr>
            <w:vAlign w:val="center"/>
          </w:tcPr>
          <w:p>
            <w:pPr>
              <w:rPr>
                <w:sz w:val="18"/>
                <w:szCs w:val="18"/>
              </w:rPr>
            </w:pPr>
            <w:r>
              <w:rPr>
                <w:sz w:val="18"/>
                <w:szCs w:val="18"/>
              </w:rPr>
              <w:t>3.74</w:t>
            </w:r>
          </w:p>
        </w:tc>
        <w:tc>
          <w:tcPr>
            <w:vAlign w:val="center"/>
          </w:tcPr>
          <w:p>
            <w:pPr>
              <w:rPr>
                <w:sz w:val="18"/>
                <w:szCs w:val="18"/>
              </w:rPr>
            </w:pPr>
            <w:r>
              <w:rPr>
                <w:sz w:val="18"/>
                <w:szCs w:val="18"/>
              </w:rPr>
              <w:t>2.00</w:t>
            </w:r>
          </w:p>
        </w:tc>
        <w:tc>
          <w:tcPr>
            <w:vAlign w:val="center"/>
          </w:tcPr>
          <w:p>
            <w:pPr>
              <w:rPr>
                <w:sz w:val="18"/>
                <w:szCs w:val="18"/>
              </w:rPr>
            </w:pPr>
            <w:r>
              <w:rPr>
                <w:b/>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1024[普通教室]</w:t>
            </w:r>
          </w:p>
        </w:tc>
        <w:tc>
          <w:tcPr>
            <w:vAlign w:val="center"/>
          </w:tcPr>
          <w:p>
            <w:pPr>
              <w:rPr>
                <w:sz w:val="18"/>
                <w:szCs w:val="18"/>
              </w:rPr>
            </w:pPr>
            <w:r>
              <w:rPr>
                <w:sz w:val="18"/>
                <w:szCs w:val="18"/>
              </w:rPr>
              <w:t>普通教室</w:t>
            </w:r>
          </w:p>
        </w:tc>
        <w:tc>
          <w:tcPr>
            <w:vAlign w:val="center"/>
          </w:tcPr>
          <w:p>
            <w:pPr>
              <w:rPr>
                <w:sz w:val="18"/>
                <w:szCs w:val="18"/>
              </w:rPr>
            </w:pPr>
            <w:r>
              <w:rPr>
                <w:sz w:val="18"/>
                <w:szCs w:val="18"/>
              </w:rPr>
              <w:t>III</w:t>
            </w:r>
          </w:p>
        </w:tc>
        <w:tc>
          <w:tcPr>
            <w:vAlign w:val="center"/>
          </w:tcPr>
          <w:p>
            <w:pPr>
              <w:rPr>
                <w:sz w:val="18"/>
                <w:szCs w:val="18"/>
              </w:rPr>
            </w:pPr>
            <w:r>
              <w:rPr>
                <w:sz w:val="18"/>
                <w:szCs w:val="18"/>
              </w:rPr>
              <w:t>混合</w:t>
            </w:r>
          </w:p>
        </w:tc>
        <w:tc>
          <w:tcPr>
            <w:vAlign w:val="center"/>
          </w:tcPr>
          <w:p>
            <w:pPr>
              <w:rPr>
                <w:sz w:val="18"/>
                <w:szCs w:val="18"/>
              </w:rPr>
            </w:pPr>
            <w:r>
              <w:rPr>
                <w:sz w:val="18"/>
                <w:szCs w:val="18"/>
              </w:rPr>
              <w:t>35.75</w:t>
            </w:r>
          </w:p>
        </w:tc>
        <w:tc>
          <w:tcPr>
            <w:vAlign w:val="center"/>
          </w:tcPr>
          <w:p>
            <w:pPr>
              <w:rPr>
                <w:sz w:val="18"/>
                <w:szCs w:val="18"/>
              </w:rPr>
            </w:pPr>
            <w:r>
              <w:rPr>
                <w:sz w:val="18"/>
                <w:szCs w:val="18"/>
              </w:rPr>
              <w:t>2.57</w:t>
            </w:r>
          </w:p>
        </w:tc>
        <w:tc>
          <w:tcPr>
            <w:vAlign w:val="center"/>
          </w:tcPr>
          <w:p>
            <w:pPr>
              <w:rPr>
                <w:sz w:val="18"/>
                <w:szCs w:val="18"/>
              </w:rPr>
            </w:pPr>
            <w:r>
              <w:rPr>
                <w:sz w:val="18"/>
                <w:szCs w:val="18"/>
              </w:rPr>
              <w:t>2.00</w:t>
            </w:r>
          </w:p>
        </w:tc>
        <w:tc>
          <w:tcPr>
            <w:vAlign w:val="center"/>
          </w:tcPr>
          <w:p>
            <w:pPr>
              <w:rPr>
                <w:sz w:val="18"/>
                <w:szCs w:val="18"/>
              </w:rPr>
            </w:pPr>
            <w:r>
              <w:rPr>
                <w:b/>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1025[阅览室]</w:t>
            </w:r>
          </w:p>
        </w:tc>
        <w:tc>
          <w:tcPr>
            <w:vAlign w:val="center"/>
          </w:tcPr>
          <w:p>
            <w:pPr>
              <w:rPr>
                <w:sz w:val="18"/>
                <w:szCs w:val="18"/>
              </w:rPr>
            </w:pPr>
            <w:r>
              <w:rPr>
                <w:sz w:val="18"/>
                <w:szCs w:val="18"/>
              </w:rPr>
              <w:t>专用教室</w:t>
            </w:r>
          </w:p>
        </w:tc>
        <w:tc>
          <w:tcPr>
            <w:vAlign w:val="center"/>
          </w:tcPr>
          <w:p>
            <w:pPr>
              <w:rPr>
                <w:sz w:val="18"/>
                <w:szCs w:val="18"/>
              </w:rPr>
            </w:pPr>
            <w:r>
              <w:rPr>
                <w:sz w:val="18"/>
                <w:szCs w:val="18"/>
              </w:rPr>
              <w:t>III</w:t>
            </w:r>
          </w:p>
        </w:tc>
        <w:tc>
          <w:tcPr>
            <w:vAlign w:val="center"/>
          </w:tcPr>
          <w:p>
            <w:pPr>
              <w:rPr>
                <w:sz w:val="18"/>
                <w:szCs w:val="18"/>
              </w:rPr>
            </w:pPr>
            <w:r>
              <w:rPr>
                <w:sz w:val="18"/>
                <w:szCs w:val="18"/>
              </w:rPr>
              <w:t>混合</w:t>
            </w:r>
          </w:p>
        </w:tc>
        <w:tc>
          <w:tcPr>
            <w:vAlign w:val="center"/>
          </w:tcPr>
          <w:p>
            <w:pPr>
              <w:rPr>
                <w:sz w:val="18"/>
                <w:szCs w:val="18"/>
              </w:rPr>
            </w:pPr>
            <w:r>
              <w:rPr>
                <w:sz w:val="18"/>
                <w:szCs w:val="18"/>
              </w:rPr>
              <w:t>34.23</w:t>
            </w:r>
          </w:p>
        </w:tc>
        <w:tc>
          <w:tcPr>
            <w:vAlign w:val="center"/>
          </w:tcPr>
          <w:p>
            <w:pPr>
              <w:rPr>
                <w:sz w:val="18"/>
                <w:szCs w:val="18"/>
              </w:rPr>
            </w:pPr>
            <w:r>
              <w:rPr>
                <w:sz w:val="18"/>
                <w:szCs w:val="18"/>
              </w:rPr>
              <w:t>3.30</w:t>
            </w:r>
          </w:p>
        </w:tc>
        <w:tc>
          <w:tcPr>
            <w:vAlign w:val="center"/>
          </w:tcPr>
          <w:p>
            <w:pPr>
              <w:rPr>
                <w:sz w:val="18"/>
                <w:szCs w:val="18"/>
              </w:rPr>
            </w:pPr>
            <w:r>
              <w:rPr>
                <w:sz w:val="18"/>
                <w:szCs w:val="18"/>
              </w:rPr>
              <w:t>2.00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1026[普通教室]</w:t>
            </w:r>
          </w:p>
        </w:tc>
        <w:tc>
          <w:tcPr>
            <w:vAlign w:val="center"/>
          </w:tcPr>
          <w:p>
            <w:pPr>
              <w:rPr>
                <w:sz w:val="18"/>
                <w:szCs w:val="18"/>
              </w:rPr>
            </w:pPr>
            <w:r>
              <w:rPr>
                <w:sz w:val="18"/>
                <w:szCs w:val="18"/>
              </w:rPr>
              <w:t>普通教室</w:t>
            </w:r>
          </w:p>
        </w:tc>
        <w:tc>
          <w:tcPr>
            <w:vAlign w:val="center"/>
          </w:tcPr>
          <w:p>
            <w:pPr>
              <w:rPr>
                <w:sz w:val="18"/>
                <w:szCs w:val="18"/>
              </w:rPr>
            </w:pPr>
            <w:r>
              <w:rPr>
                <w:sz w:val="18"/>
                <w:szCs w:val="18"/>
              </w:rPr>
              <w:t>III</w:t>
            </w:r>
          </w:p>
        </w:tc>
        <w:tc>
          <w:tcPr>
            <w:vAlign w:val="center"/>
          </w:tcPr>
          <w:p>
            <w:pPr>
              <w:rPr>
                <w:sz w:val="18"/>
                <w:szCs w:val="18"/>
              </w:rPr>
            </w:pPr>
            <w:r>
              <w:rPr>
                <w:sz w:val="18"/>
                <w:szCs w:val="18"/>
              </w:rPr>
              <w:t>混合</w:t>
            </w:r>
          </w:p>
        </w:tc>
        <w:tc>
          <w:tcPr>
            <w:vAlign w:val="center"/>
          </w:tcPr>
          <w:p>
            <w:pPr>
              <w:rPr>
                <w:sz w:val="18"/>
                <w:szCs w:val="18"/>
              </w:rPr>
            </w:pPr>
            <w:r>
              <w:rPr>
                <w:sz w:val="18"/>
                <w:szCs w:val="18"/>
              </w:rPr>
              <w:t>35.89</w:t>
            </w:r>
          </w:p>
        </w:tc>
        <w:tc>
          <w:tcPr>
            <w:vAlign w:val="center"/>
          </w:tcPr>
          <w:p>
            <w:pPr>
              <w:rPr>
                <w:sz w:val="18"/>
                <w:szCs w:val="18"/>
              </w:rPr>
            </w:pPr>
            <w:r>
              <w:rPr>
                <w:sz w:val="18"/>
                <w:szCs w:val="18"/>
              </w:rPr>
              <w:t>2.72</w:t>
            </w:r>
          </w:p>
        </w:tc>
        <w:tc>
          <w:tcPr>
            <w:vAlign w:val="center"/>
          </w:tcPr>
          <w:p>
            <w:pPr>
              <w:rPr>
                <w:sz w:val="18"/>
                <w:szCs w:val="18"/>
              </w:rPr>
            </w:pPr>
            <w:r>
              <w:rPr>
                <w:sz w:val="18"/>
                <w:szCs w:val="18"/>
              </w:rPr>
              <w:t>2.00</w:t>
            </w:r>
          </w:p>
        </w:tc>
        <w:tc>
          <w:tcPr>
            <w:vAlign w:val="center"/>
          </w:tcPr>
          <w:p>
            <w:pPr>
              <w:rPr>
                <w:sz w:val="18"/>
                <w:szCs w:val="18"/>
              </w:rPr>
            </w:pPr>
            <w:r>
              <w:rPr>
                <w:b/>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2001[大厅]</w:t>
            </w:r>
          </w:p>
        </w:tc>
        <w:tc>
          <w:tcPr>
            <w:vAlign w:val="center"/>
          </w:tcPr>
          <w:p>
            <w:pPr>
              <w:rPr>
                <w:sz w:val="18"/>
                <w:szCs w:val="18"/>
              </w:rPr>
            </w:pPr>
            <w:r>
              <w:rPr>
                <w:sz w:val="18"/>
                <w:szCs w:val="18"/>
              </w:rPr>
              <w:t>大堂</w:t>
            </w:r>
          </w:p>
        </w:tc>
        <w:tc>
          <w:tcPr>
            <w:vAlign w:val="center"/>
          </w:tcPr>
          <w:p>
            <w:pPr>
              <w:rPr>
                <w:sz w:val="18"/>
                <w:szCs w:val="18"/>
              </w:rPr>
            </w:pPr>
            <w:r>
              <w:rPr>
                <w:sz w:val="18"/>
                <w:szCs w:val="18"/>
              </w:rPr>
              <w:t>IV</w:t>
            </w:r>
          </w:p>
        </w:tc>
        <w:tc>
          <w:tcPr>
            <w:vAlign w:val="center"/>
          </w:tcPr>
          <w:p>
            <w:pPr>
              <w:rPr>
                <w:sz w:val="18"/>
                <w:szCs w:val="18"/>
              </w:rPr>
            </w:pPr>
            <w:r>
              <w:rPr>
                <w:sz w:val="18"/>
                <w:szCs w:val="18"/>
              </w:rPr>
              <w:t>混合</w:t>
            </w:r>
          </w:p>
        </w:tc>
        <w:tc>
          <w:tcPr>
            <w:vAlign w:val="center"/>
          </w:tcPr>
          <w:p>
            <w:pPr>
              <w:rPr>
                <w:sz w:val="18"/>
                <w:szCs w:val="18"/>
              </w:rPr>
            </w:pPr>
            <w:r>
              <w:rPr>
                <w:sz w:val="18"/>
                <w:szCs w:val="18"/>
              </w:rPr>
              <w:t>492.75</w:t>
            </w:r>
          </w:p>
        </w:tc>
        <w:tc>
          <w:tcPr>
            <w:vAlign w:val="center"/>
          </w:tcPr>
          <w:p>
            <w:pPr>
              <w:rPr>
                <w:sz w:val="18"/>
                <w:szCs w:val="18"/>
              </w:rPr>
            </w:pPr>
            <w:r>
              <w:rPr>
                <w:sz w:val="18"/>
                <w:szCs w:val="18"/>
              </w:rPr>
              <w:t>2.48</w:t>
            </w:r>
          </w:p>
        </w:tc>
        <w:tc>
          <w:tcPr>
            <w:vAlign w:val="center"/>
          </w:tcPr>
          <w:p>
            <w:pPr>
              <w:rPr>
                <w:sz w:val="18"/>
                <w:szCs w:val="18"/>
              </w:rPr>
            </w:pPr>
            <w:r>
              <w:rPr>
                <w:sz w:val="18"/>
                <w:szCs w:val="18"/>
              </w:rPr>
              <w:t>1.00</w:t>
            </w:r>
          </w:p>
        </w:tc>
        <w:tc>
          <w:tcPr>
            <w:vAlign w:val="center"/>
          </w:tcPr>
          <w:p>
            <w:pP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2038[普通教室]</w:t>
            </w:r>
          </w:p>
        </w:tc>
        <w:tc>
          <w:tcPr>
            <w:vAlign w:val="center"/>
          </w:tcPr>
          <w:p>
            <w:pPr>
              <w:rPr>
                <w:sz w:val="18"/>
                <w:szCs w:val="18"/>
              </w:rPr>
            </w:pPr>
            <w:r>
              <w:rPr>
                <w:sz w:val="18"/>
                <w:szCs w:val="18"/>
              </w:rPr>
              <w:t>普通教室</w:t>
            </w:r>
          </w:p>
        </w:tc>
        <w:tc>
          <w:tcPr>
            <w:vAlign w:val="center"/>
          </w:tcPr>
          <w:p>
            <w:pPr>
              <w:rPr>
                <w:sz w:val="18"/>
                <w:szCs w:val="18"/>
              </w:rPr>
            </w:pPr>
            <w:r>
              <w:rPr>
                <w:sz w:val="18"/>
                <w:szCs w:val="18"/>
              </w:rPr>
              <w:t>III</w:t>
            </w:r>
          </w:p>
        </w:tc>
        <w:tc>
          <w:tcPr>
            <w:vAlign w:val="center"/>
          </w:tcPr>
          <w:p>
            <w:pPr>
              <w:rPr>
                <w:sz w:val="18"/>
                <w:szCs w:val="18"/>
              </w:rPr>
            </w:pPr>
            <w:r>
              <w:rPr>
                <w:sz w:val="18"/>
                <w:szCs w:val="18"/>
              </w:rPr>
              <w:t>顶部</w:t>
            </w:r>
          </w:p>
        </w:tc>
        <w:tc>
          <w:tcPr>
            <w:vAlign w:val="center"/>
          </w:tcPr>
          <w:p>
            <w:pPr>
              <w:rPr>
                <w:sz w:val="18"/>
                <w:szCs w:val="18"/>
              </w:rPr>
            </w:pPr>
            <w:r>
              <w:rPr>
                <w:sz w:val="18"/>
                <w:szCs w:val="18"/>
              </w:rPr>
              <w:t>13.52</w:t>
            </w:r>
          </w:p>
        </w:tc>
        <w:tc>
          <w:tcPr>
            <w:vAlign w:val="center"/>
          </w:tcPr>
          <w:p>
            <w:pPr>
              <w:rPr>
                <w:sz w:val="18"/>
                <w:szCs w:val="18"/>
              </w:rPr>
            </w:pPr>
            <w:r>
              <w:rPr>
                <w:sz w:val="18"/>
                <w:szCs w:val="18"/>
              </w:rPr>
              <w:t>2.85</w:t>
            </w:r>
          </w:p>
        </w:tc>
        <w:tc>
          <w:tcPr>
            <w:vAlign w:val="center"/>
          </w:tcPr>
          <w:p>
            <w:pPr>
              <w:rPr>
                <w:sz w:val="18"/>
                <w:szCs w:val="18"/>
              </w:rPr>
            </w:pPr>
            <w:r>
              <w:rPr>
                <w:sz w:val="18"/>
                <w:szCs w:val="18"/>
              </w:rPr>
              <w:t>2.00</w:t>
            </w:r>
          </w:p>
        </w:tc>
        <w:tc>
          <w:tcPr>
            <w:vAlign w:val="center"/>
          </w:tcPr>
          <w:p>
            <w:pPr>
              <w:rPr>
                <w:sz w:val="18"/>
                <w:szCs w:val="18"/>
              </w:rPr>
            </w:pPr>
            <w:r>
              <w:rPr>
                <w:b/>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2039[普通教室]</w:t>
            </w:r>
          </w:p>
        </w:tc>
        <w:tc>
          <w:tcPr>
            <w:vAlign w:val="center"/>
          </w:tcPr>
          <w:p>
            <w:pPr>
              <w:rPr>
                <w:sz w:val="18"/>
                <w:szCs w:val="18"/>
              </w:rPr>
            </w:pPr>
            <w:r>
              <w:rPr>
                <w:sz w:val="18"/>
                <w:szCs w:val="18"/>
              </w:rPr>
              <w:t>普通教室</w:t>
            </w:r>
          </w:p>
        </w:tc>
        <w:tc>
          <w:tcPr>
            <w:vAlign w:val="center"/>
          </w:tcPr>
          <w:p>
            <w:pPr>
              <w:rPr>
                <w:sz w:val="18"/>
                <w:szCs w:val="18"/>
              </w:rPr>
            </w:pPr>
            <w:r>
              <w:rPr>
                <w:sz w:val="18"/>
                <w:szCs w:val="18"/>
              </w:rPr>
              <w:t>III</w:t>
            </w:r>
          </w:p>
        </w:tc>
        <w:tc>
          <w:tcPr>
            <w:vAlign w:val="center"/>
          </w:tcPr>
          <w:p>
            <w:pPr>
              <w:rPr>
                <w:sz w:val="18"/>
                <w:szCs w:val="18"/>
              </w:rPr>
            </w:pPr>
            <w:r>
              <w:rPr>
                <w:sz w:val="18"/>
                <w:szCs w:val="18"/>
              </w:rPr>
              <w:t>顶部</w:t>
            </w:r>
          </w:p>
        </w:tc>
        <w:tc>
          <w:tcPr>
            <w:vAlign w:val="center"/>
          </w:tcPr>
          <w:p>
            <w:pPr>
              <w:rPr>
                <w:sz w:val="18"/>
                <w:szCs w:val="18"/>
              </w:rPr>
            </w:pPr>
            <w:r>
              <w:rPr>
                <w:sz w:val="18"/>
                <w:szCs w:val="18"/>
              </w:rPr>
              <w:t>13.51</w:t>
            </w:r>
          </w:p>
        </w:tc>
        <w:tc>
          <w:tcPr>
            <w:vAlign w:val="center"/>
          </w:tcPr>
          <w:p>
            <w:pPr>
              <w:rPr>
                <w:sz w:val="18"/>
                <w:szCs w:val="18"/>
              </w:rPr>
            </w:pPr>
            <w:r>
              <w:rPr>
                <w:sz w:val="18"/>
                <w:szCs w:val="18"/>
              </w:rPr>
              <w:t>3.38</w:t>
            </w:r>
          </w:p>
        </w:tc>
        <w:tc>
          <w:tcPr>
            <w:vAlign w:val="center"/>
          </w:tcPr>
          <w:p>
            <w:pPr>
              <w:rPr>
                <w:sz w:val="18"/>
                <w:szCs w:val="18"/>
              </w:rPr>
            </w:pPr>
            <w:r>
              <w:rPr>
                <w:sz w:val="18"/>
                <w:szCs w:val="18"/>
              </w:rPr>
              <w:t>2.00</w:t>
            </w:r>
          </w:p>
        </w:tc>
        <w:tc>
          <w:tcPr>
            <w:vAlign w:val="center"/>
          </w:tcPr>
          <w:p>
            <w:pPr>
              <w:rPr>
                <w:sz w:val="18"/>
                <w:szCs w:val="18"/>
              </w:rPr>
            </w:pPr>
            <w:r>
              <w:rPr>
                <w:b/>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2043[普通教室]</w:t>
            </w:r>
          </w:p>
        </w:tc>
        <w:tc>
          <w:tcPr>
            <w:vAlign w:val="center"/>
          </w:tcPr>
          <w:p>
            <w:pPr>
              <w:rPr>
                <w:sz w:val="18"/>
                <w:szCs w:val="18"/>
              </w:rPr>
            </w:pPr>
            <w:r>
              <w:rPr>
                <w:sz w:val="18"/>
                <w:szCs w:val="18"/>
              </w:rPr>
              <w:t>普通教室</w:t>
            </w:r>
          </w:p>
        </w:tc>
        <w:tc>
          <w:tcPr>
            <w:vAlign w:val="center"/>
          </w:tcPr>
          <w:p>
            <w:pPr>
              <w:rPr>
                <w:sz w:val="18"/>
                <w:szCs w:val="18"/>
              </w:rPr>
            </w:pPr>
            <w:r>
              <w:rPr>
                <w:sz w:val="18"/>
                <w:szCs w:val="18"/>
              </w:rPr>
              <w:t>III</w:t>
            </w:r>
          </w:p>
        </w:tc>
        <w:tc>
          <w:tcPr>
            <w:vAlign w:val="center"/>
          </w:tcPr>
          <w:p>
            <w:pPr>
              <w:rPr>
                <w:sz w:val="18"/>
                <w:szCs w:val="18"/>
              </w:rPr>
            </w:pPr>
            <w:r>
              <w:rPr>
                <w:sz w:val="18"/>
                <w:szCs w:val="18"/>
              </w:rPr>
              <w:t>顶部</w:t>
            </w:r>
          </w:p>
        </w:tc>
        <w:tc>
          <w:tcPr>
            <w:vAlign w:val="center"/>
          </w:tcPr>
          <w:p>
            <w:pPr>
              <w:rPr>
                <w:sz w:val="18"/>
                <w:szCs w:val="18"/>
              </w:rPr>
            </w:pPr>
            <w:r>
              <w:rPr>
                <w:sz w:val="18"/>
                <w:szCs w:val="18"/>
              </w:rPr>
              <w:t>13.32</w:t>
            </w:r>
          </w:p>
        </w:tc>
        <w:tc>
          <w:tcPr>
            <w:vAlign w:val="center"/>
          </w:tcPr>
          <w:p>
            <w:pPr>
              <w:rPr>
                <w:sz w:val="18"/>
                <w:szCs w:val="18"/>
              </w:rPr>
            </w:pPr>
            <w:r>
              <w:rPr>
                <w:sz w:val="18"/>
                <w:szCs w:val="18"/>
              </w:rPr>
              <w:t>2.76</w:t>
            </w:r>
          </w:p>
        </w:tc>
        <w:tc>
          <w:tcPr>
            <w:vAlign w:val="center"/>
          </w:tcPr>
          <w:p>
            <w:pPr>
              <w:rPr>
                <w:sz w:val="18"/>
                <w:szCs w:val="18"/>
              </w:rPr>
            </w:pPr>
            <w:r>
              <w:rPr>
                <w:sz w:val="18"/>
                <w:szCs w:val="18"/>
              </w:rPr>
              <w:t>2.00</w:t>
            </w:r>
          </w:p>
        </w:tc>
        <w:tc>
          <w:tcPr>
            <w:vAlign w:val="center"/>
          </w:tcPr>
          <w:p>
            <w:pPr>
              <w:rPr>
                <w:sz w:val="18"/>
                <w:szCs w:val="18"/>
              </w:rPr>
            </w:pPr>
            <w:r>
              <w:rPr>
                <w:b/>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18"/>
                <w:szCs w:val="18"/>
              </w:rPr>
            </w:pPr>
          </w:p>
        </w:tc>
        <w:tc>
          <w:tcPr>
            <w:vAlign w:val="center"/>
          </w:tcPr>
          <w:p>
            <w:pPr>
              <w:rPr>
                <w:sz w:val="18"/>
                <w:szCs w:val="18"/>
              </w:rPr>
            </w:pPr>
            <w:r>
              <w:rPr>
                <w:sz w:val="18"/>
                <w:szCs w:val="18"/>
              </w:rPr>
              <w:t>2044[普通教室]</w:t>
            </w:r>
          </w:p>
        </w:tc>
        <w:tc>
          <w:tcPr>
            <w:vAlign w:val="center"/>
          </w:tcPr>
          <w:p>
            <w:pPr>
              <w:rPr>
                <w:sz w:val="18"/>
                <w:szCs w:val="18"/>
              </w:rPr>
            </w:pPr>
            <w:r>
              <w:rPr>
                <w:sz w:val="18"/>
                <w:szCs w:val="18"/>
              </w:rPr>
              <w:t>普通教室</w:t>
            </w:r>
          </w:p>
        </w:tc>
        <w:tc>
          <w:tcPr>
            <w:vAlign w:val="center"/>
          </w:tcPr>
          <w:p>
            <w:pPr>
              <w:rPr>
                <w:sz w:val="18"/>
                <w:szCs w:val="18"/>
              </w:rPr>
            </w:pPr>
            <w:r>
              <w:rPr>
                <w:sz w:val="18"/>
                <w:szCs w:val="18"/>
              </w:rPr>
              <w:t>III</w:t>
            </w:r>
          </w:p>
        </w:tc>
        <w:tc>
          <w:tcPr>
            <w:vAlign w:val="center"/>
          </w:tcPr>
          <w:p>
            <w:pPr>
              <w:rPr>
                <w:sz w:val="18"/>
                <w:szCs w:val="18"/>
              </w:rPr>
            </w:pPr>
            <w:r>
              <w:rPr>
                <w:sz w:val="18"/>
                <w:szCs w:val="18"/>
              </w:rPr>
              <w:t>顶部</w:t>
            </w:r>
          </w:p>
        </w:tc>
        <w:tc>
          <w:tcPr>
            <w:vAlign w:val="center"/>
          </w:tcPr>
          <w:p>
            <w:pPr>
              <w:rPr>
                <w:sz w:val="18"/>
                <w:szCs w:val="18"/>
              </w:rPr>
            </w:pPr>
            <w:r>
              <w:rPr>
                <w:sz w:val="18"/>
                <w:szCs w:val="18"/>
              </w:rPr>
              <w:t>13.32</w:t>
            </w:r>
          </w:p>
        </w:tc>
        <w:tc>
          <w:tcPr>
            <w:vAlign w:val="center"/>
          </w:tcPr>
          <w:p>
            <w:pPr>
              <w:rPr>
                <w:sz w:val="18"/>
                <w:szCs w:val="18"/>
              </w:rPr>
            </w:pPr>
            <w:r>
              <w:rPr>
                <w:sz w:val="18"/>
                <w:szCs w:val="18"/>
              </w:rPr>
              <w:t>2.43</w:t>
            </w:r>
          </w:p>
        </w:tc>
        <w:tc>
          <w:tcPr>
            <w:vAlign w:val="center"/>
          </w:tcPr>
          <w:p>
            <w:pPr>
              <w:rPr>
                <w:sz w:val="18"/>
                <w:szCs w:val="18"/>
              </w:rPr>
            </w:pPr>
            <w:r>
              <w:rPr>
                <w:sz w:val="18"/>
                <w:szCs w:val="18"/>
              </w:rPr>
              <w:t>2.00</w:t>
            </w:r>
          </w:p>
        </w:tc>
        <w:tc>
          <w:tcPr>
            <w:vAlign w:val="center"/>
          </w:tcPr>
          <w:p>
            <w:pPr>
              <w:rPr>
                <w:sz w:val="18"/>
                <w:szCs w:val="18"/>
              </w:rPr>
            </w:pPr>
            <w:r>
              <w:rPr>
                <w:b/>
                <w:sz w:val="18"/>
                <w:szCs w:val="18"/>
              </w:rPr>
              <w:t>满足</w:t>
            </w:r>
          </w:p>
        </w:tc>
      </w:tr>
    </w:tbl>
    <w:p>
      <w:pPr>
        <w:pStyle w:val="3"/>
        <w:rPr>
          <w:rFonts w:ascii="宋体" w:hAnsi="宋体"/>
          <w:sz w:val="18"/>
          <w:szCs w:val="18"/>
          <w:lang w:val="en-US"/>
        </w:rPr>
      </w:pPr>
    </w:p>
    <w:p>
      <w:pPr>
        <w:pStyle w:val="2"/>
        <w:ind w:left="432" w:hanging="432"/>
      </w:pPr>
      <w:bookmarkStart w:id="77" w:name="_Toc16369"/>
      <w:r>
        <w:rPr>
          <w:rFonts w:hint="eastAsia"/>
        </w:rPr>
        <w:t>采光</w:t>
      </w:r>
      <w:r>
        <w:t>效果分析</w:t>
      </w:r>
      <w:r>
        <w:rPr>
          <w:rFonts w:hint="eastAsia"/>
        </w:rPr>
        <w:t>彩图</w:t>
      </w:r>
      <w:bookmarkEnd w:id="77"/>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8" w:name="彩图"/>
      <w:bookmarkEnd w:id="78"/>
      <w:r>
        <w:rPr>
          <w:rFonts w:hint="eastAsia"/>
        </w:rPr>
        <w:t xml:space="preserve"> </w:t>
      </w:r>
    </w:p>
    <w:p>
      <w:r>
        <w:drawing>
          <wp:inline distT="0" distB="0" distL="0" distR="0">
            <wp:extent cx="5667375" cy="23145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2314575"/>
                    </a:xfrm>
                    <a:prstGeom prst="rect">
                      <a:avLst/>
                    </a:prstGeom>
                  </pic:spPr>
                </pic:pic>
              </a:graphicData>
            </a:graphic>
          </wp:inline>
        </w:drawing>
      </w:r>
    </w:p>
    <w:p>
      <w:r>
        <w:t>1层</w:t>
      </w:r>
    </w:p>
    <w:p>
      <w:r>
        <w:drawing>
          <wp:inline distT="0" distB="0" distL="0" distR="0">
            <wp:extent cx="5667375" cy="23526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2352675"/>
                    </a:xfrm>
                    <a:prstGeom prst="rect">
                      <a:avLst/>
                    </a:prstGeom>
                  </pic:spPr>
                </pic:pic>
              </a:graphicData>
            </a:graphic>
          </wp:inline>
        </w:drawing>
      </w:r>
    </w:p>
    <w:p>
      <w:r>
        <w:t>2层</w:t>
      </w:r>
    </w:p>
    <w:p/>
    <w:p>
      <w:pPr>
        <w:pStyle w:val="2"/>
        <w:ind w:left="432" w:hanging="432"/>
      </w:pPr>
      <w:bookmarkStart w:id="79" w:name="_Toc26839"/>
      <w:r>
        <w:rPr>
          <w:rFonts w:hint="eastAsia"/>
        </w:rPr>
        <w:t>结论</w:t>
      </w:r>
      <w:bookmarkEnd w:id="79"/>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80" w:name="综述"/>
      <w:bookmarkEnd w:id="80"/>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房间/面积</w:t>
            </w:r>
          </w:p>
        </w:tc>
        <w:tc>
          <w:tcPr>
            <w:shd w:val="clear" w:color="auto" w:fill="E6E6E6"/>
            <w:vAlign w:val="center"/>
          </w:tcPr>
          <w:p>
            <w:pPr>
              <w:jc w:val="center"/>
              <w:rPr>
                <w:sz w:val="21"/>
                <w:szCs w:val="21"/>
              </w:rPr>
            </w:pPr>
            <w:r>
              <w:rPr>
                <w:sz w:val="21"/>
                <w:szCs w:val="21"/>
              </w:rPr>
              <w:t>总数</w:t>
            </w:r>
          </w:p>
        </w:tc>
        <w:tc>
          <w:tcPr>
            <w:shd w:val="clear" w:color="auto" w:fill="E6E6E6"/>
            <w:vAlign w:val="center"/>
          </w:tcPr>
          <w:p>
            <w:pPr>
              <w:jc w:val="center"/>
              <w:rPr>
                <w:sz w:val="21"/>
                <w:szCs w:val="21"/>
              </w:rPr>
            </w:pPr>
            <w:r>
              <w:rPr>
                <w:sz w:val="21"/>
                <w:szCs w:val="21"/>
              </w:rPr>
              <w:t>满足要求数量</w:t>
            </w:r>
          </w:p>
        </w:tc>
        <w:tc>
          <w:tcPr>
            <w:shd w:val="clear" w:color="auto" w:fill="E6E6E6"/>
            <w:vAlign w:val="center"/>
          </w:tcPr>
          <w:p>
            <w:pPr>
              <w:jc w:val="center"/>
              <w:rPr>
                <w:sz w:val="21"/>
                <w:szCs w:val="21"/>
              </w:rPr>
            </w:pPr>
            <w:r>
              <w:rPr>
                <w:sz w:val="21"/>
                <w:szCs w:val="21"/>
              </w:rPr>
              <w:t>满足要求比例(%)</w:t>
            </w:r>
          </w:p>
        </w:tc>
        <w:tc>
          <w:tcPr>
            <w:shd w:val="clear" w:color="auto" w:fill="E6E6E6"/>
            <w:vAlign w:val="center"/>
          </w:tcPr>
          <w:p>
            <w:pPr>
              <w:jc w:val="center"/>
              <w:rPr>
                <w:sz w:val="21"/>
                <w:szCs w:val="21"/>
              </w:rPr>
            </w:pPr>
            <w:r>
              <w:rPr>
                <w:sz w:val="21"/>
                <w:szCs w:val="21"/>
              </w:rPr>
              <w:t>不满足非强条的房间</w:t>
            </w:r>
          </w:p>
        </w:tc>
        <w:tc>
          <w:tcPr>
            <w:shd w:val="clear" w:color="auto" w:fill="E6E6E6"/>
            <w:vAlign w:val="center"/>
          </w:tcPr>
          <w:p>
            <w:pPr>
              <w:jc w:val="center"/>
              <w:rPr>
                <w:sz w:val="21"/>
                <w:szCs w:val="21"/>
              </w:rPr>
            </w:pPr>
            <w:r>
              <w:rPr>
                <w:sz w:val="21"/>
                <w:szCs w:val="21"/>
              </w:rPr>
              <w:t>不满足强条的房间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1"/>
                <w:szCs w:val="21"/>
              </w:rPr>
            </w:pPr>
            <w:r>
              <w:rPr>
                <w:sz w:val="21"/>
                <w:szCs w:val="21"/>
              </w:rPr>
              <w:t>房间(个)</w:t>
            </w:r>
          </w:p>
        </w:tc>
        <w:tc>
          <w:tcPr>
            <w:vAlign w:val="center"/>
          </w:tcPr>
          <w:p>
            <w:pPr>
              <w:rPr>
                <w:sz w:val="21"/>
                <w:szCs w:val="21"/>
              </w:rPr>
            </w:pPr>
            <w:r>
              <w:rPr>
                <w:sz w:val="21"/>
                <w:szCs w:val="21"/>
              </w:rPr>
              <w:t>11</w:t>
            </w:r>
          </w:p>
        </w:tc>
        <w:tc>
          <w:tcPr>
            <w:vAlign w:val="center"/>
          </w:tcPr>
          <w:p>
            <w:pPr>
              <w:rPr>
                <w:sz w:val="21"/>
                <w:szCs w:val="21"/>
              </w:rPr>
            </w:pPr>
            <w:r>
              <w:rPr>
                <w:sz w:val="21"/>
                <w:szCs w:val="21"/>
              </w:rPr>
              <w:t>11</w:t>
            </w:r>
          </w:p>
        </w:tc>
        <w:tc>
          <w:tcPr>
            <w:vAlign w:val="center"/>
          </w:tcPr>
          <w:p>
            <w:pPr>
              <w:rPr>
                <w:sz w:val="21"/>
                <w:szCs w:val="21"/>
              </w:rPr>
            </w:pPr>
            <w:r>
              <w:rPr>
                <w:sz w:val="21"/>
                <w:szCs w:val="21"/>
              </w:rPr>
              <w:t>100.00</w:t>
            </w:r>
          </w:p>
        </w:tc>
        <w:tc>
          <w:tcPr>
            <w:vAlign w:val="center"/>
          </w:tcPr>
          <w:p>
            <w:pPr>
              <w:rPr>
                <w:sz w:val="21"/>
                <w:szCs w:val="21"/>
              </w:rPr>
            </w:pPr>
          </w:p>
        </w:tc>
        <w:tc>
          <w:tcPr>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1"/>
                <w:szCs w:val="21"/>
              </w:rPr>
            </w:pPr>
            <w:r>
              <w:rPr>
                <w:sz w:val="21"/>
                <w:szCs w:val="21"/>
              </w:rPr>
              <w:t>采光面积(㎡)</w:t>
            </w:r>
          </w:p>
        </w:tc>
        <w:tc>
          <w:tcPr>
            <w:vAlign w:val="center"/>
          </w:tcPr>
          <w:p>
            <w:pPr>
              <w:rPr>
                <w:sz w:val="21"/>
                <w:szCs w:val="21"/>
              </w:rPr>
            </w:pPr>
            <w:r>
              <w:rPr>
                <w:sz w:val="21"/>
                <w:szCs w:val="21"/>
              </w:rPr>
              <w:t>1608.92</w:t>
            </w:r>
          </w:p>
        </w:tc>
        <w:tc>
          <w:tcPr>
            <w:vAlign w:val="center"/>
          </w:tcPr>
          <w:p>
            <w:pPr>
              <w:rPr>
                <w:sz w:val="21"/>
                <w:szCs w:val="21"/>
              </w:rPr>
            </w:pPr>
            <w:r>
              <w:rPr>
                <w:sz w:val="21"/>
                <w:szCs w:val="21"/>
              </w:rPr>
              <w:t>1608.92</w:t>
            </w:r>
          </w:p>
        </w:tc>
        <w:tc>
          <w:tcPr>
            <w:vAlign w:val="center"/>
          </w:tcPr>
          <w:p>
            <w:pPr>
              <w:rPr>
                <w:sz w:val="21"/>
                <w:szCs w:val="21"/>
              </w:rPr>
            </w:pPr>
            <w:r>
              <w:rPr>
                <w:sz w:val="21"/>
                <w:szCs w:val="21"/>
              </w:rPr>
              <w:t>100.00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81" w:name="总平面图"/>
      <w:bookmarkEnd w:id="81"/>
      <w:r>
        <w:drawing>
          <wp:inline distT="0" distB="0" distL="0" distR="0">
            <wp:extent cx="5667375" cy="27908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2790825"/>
                    </a:xfrm>
                    <a:prstGeom prst="rect">
                      <a:avLst/>
                    </a:prstGeom>
                  </pic:spPr>
                </pic:pic>
              </a:graphicData>
            </a:graphic>
          </wp:inline>
        </w:drawing>
      </w:r>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295810"/>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2E295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uiPriority w:val="39"/>
    <w:pPr>
      <w:tabs>
        <w:tab w:val="left" w:leader="dot" w:pos="180"/>
        <w:tab w:val="left" w:pos="420"/>
        <w:tab w:val="right" w:leader="dot" w:pos="9360"/>
      </w:tabs>
    </w:pPr>
    <w:rPr>
      <w:b/>
      <w:bCs/>
      <w:kern w:val="2"/>
      <w:szCs w:val="24"/>
      <w:lang w:val="en-US"/>
    </w:rPr>
  </w:style>
  <w:style w:type="paragraph" w:styleId="18">
    <w:name w:val="toc 2"/>
    <w:basedOn w:val="1"/>
    <w:next w:val="1"/>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wmf"/><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un\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tmp3.dotx</Template>
  <Pages>10</Pages>
  <Words>3528</Words>
  <Characters>4482</Characters>
  <Lines>32</Lines>
  <Paragraphs>9</Paragraphs>
  <TotalTime>0</TotalTime>
  <ScaleCrop>false</ScaleCrop>
  <LinksUpToDate>false</LinksUpToDate>
  <CharactersWithSpaces>4600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2024-11-26T02:33:00Z</dcterms:created>
  <dc:creator>haojun</dc:creator>
  <cp:lastModifiedBy>haojun</cp:lastModifiedBy>
  <dcterms:modified xsi:type="dcterms:W3CDTF">2024-11-26T02:34:00Z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