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98" w:name="_GoBack"/>
      <w:bookmarkEnd w:id="98"/>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风澜水韵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沈阳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沈阳大学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沈阳大学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2024年11月25日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pPr>
              <w:spacing w:line="240" w:lineRule="atLeast"/>
              <w:rPr>
                <w:sz w:val="18"/>
                <w:szCs w:val="18"/>
              </w:rPr>
            </w:pPr>
            <w:bookmarkStart w:id="8" w:name="采用软件"/>
            <w:r>
              <w:rPr>
                <w:rFonts w:hint="eastAsia"/>
              </w:rPr>
              <w:t>建筑通风Vent2024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pPr>
              <w:spacing w:line="240" w:lineRule="atLeast"/>
              <w:rPr>
                <w:sz w:val="18"/>
                <w:szCs w:val="18"/>
              </w:rPr>
            </w:pPr>
            <w:bookmarkStart w:id="9" w:name="软件版本"/>
            <w:r>
              <w:rPr>
                <w:rFonts w:hint="eastAsia"/>
                <w:sz w:val="18"/>
                <w:szCs w:val="18"/>
              </w:rPr>
              <w:t>20240430(SP1)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pPr>
              <w:spacing w:line="240" w:lineRule="atLeast"/>
              <w:rPr>
                <w:sz w:val="18"/>
                <w:szCs w:val="18"/>
              </w:rPr>
            </w:pPr>
            <w:r>
              <w:rPr>
                <w:rFonts w:hint="eastAsia"/>
                <w:sz w:val="18"/>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pPr>
              <w:rPr>
                <w:rFonts w:cstheme="minorBidi"/>
                <w:kern w:val="2"/>
                <w:szCs w:val="18"/>
                <w:lang w:val="en-US"/>
              </w:rPr>
            </w:pPr>
            <w:bookmarkStart w:id="10" w:name="加密锁号"/>
            <w:r>
              <w:rPr>
                <w:rFonts w:hint="eastAsia"/>
              </w:rPr>
              <w:t>T13464427122</w:t>
            </w:r>
          </w:p>
        </w:tc>
      </w:tr>
    </w:tbl>
    <w:p>
      <w:pPr>
        <w:spacing w:line="240" w:lineRule="auto"/>
        <w:jc w:val="center"/>
        <w:rPr>
          <w:rFonts w:ascii="宋体" w:hAnsi="宋体"/>
          <w:b/>
          <w:bCs/>
          <w:sz w:val="30"/>
          <w:szCs w:val="32"/>
        </w:rPr>
      </w:pPr>
    </w:p>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_Toc20441 </w:instrText>
      </w:r>
      <w:r>
        <w:rPr>
          <w:rFonts w:ascii="宋体" w:hAnsi="宋体"/>
          <w:bCs w:val="0"/>
          <w:caps/>
        </w:rPr>
        <w:fldChar w:fldCharType="separate"/>
      </w:r>
      <w:r>
        <w:rPr>
          <w:rFonts w:hint="eastAsia"/>
        </w:rPr>
        <w:t>1 项目概况</w:t>
      </w:r>
      <w:r>
        <w:tab/>
      </w:r>
      <w:r>
        <w:fldChar w:fldCharType="begin"/>
      </w:r>
      <w:r>
        <w:instrText xml:space="preserve"> PAGEREF _Toc20441 </w:instrText>
      </w:r>
      <w:r>
        <w:fldChar w:fldCharType="separate"/>
      </w:r>
      <w:r>
        <w:t>4</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_Toc5043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_Toc5043 </w:instrText>
      </w:r>
      <w:r>
        <w:fldChar w:fldCharType="separate"/>
      </w:r>
      <w:r>
        <w:t>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_Toc26951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_Toc26951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_Toc29458 </w:instrText>
      </w:r>
      <w:r>
        <w:fldChar w:fldCharType="separate"/>
      </w:r>
      <w:r>
        <w:rPr>
          <w:rFonts w:hint="eastAsia"/>
        </w:rPr>
        <w:t>2 计算</w:t>
      </w:r>
      <w:r>
        <w:t>依据</w:t>
      </w:r>
      <w:r>
        <w:tab/>
      </w:r>
      <w:r>
        <w:fldChar w:fldCharType="begin"/>
      </w:r>
      <w:r>
        <w:instrText xml:space="preserve"> PAGEREF _Toc29458 </w:instrText>
      </w:r>
      <w:r>
        <w:fldChar w:fldCharType="separate"/>
      </w:r>
      <w:r>
        <w:t>7</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_Toc11340 </w:instrText>
      </w:r>
      <w:r>
        <w:fldChar w:fldCharType="separate"/>
      </w:r>
      <w:r>
        <w:rPr>
          <w:rFonts w:hint="eastAsia"/>
        </w:rPr>
        <w:t>3 参考</w:t>
      </w:r>
      <w:r>
        <w:t>标准</w:t>
      </w:r>
      <w:r>
        <w:tab/>
      </w:r>
      <w:r>
        <w:fldChar w:fldCharType="begin"/>
      </w:r>
      <w:r>
        <w:instrText xml:space="preserve"> PAGEREF _Toc11340 </w:instrText>
      </w:r>
      <w:r>
        <w:fldChar w:fldCharType="separate"/>
      </w:r>
      <w:r>
        <w:t>7</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_Toc23108 </w:instrText>
      </w:r>
      <w:r>
        <w:fldChar w:fldCharType="separate"/>
      </w:r>
      <w:r>
        <w:rPr>
          <w:rFonts w:hint="eastAsia"/>
        </w:rPr>
        <w:t>4 计算原理</w:t>
      </w:r>
      <w:r>
        <w:tab/>
      </w:r>
      <w:r>
        <w:fldChar w:fldCharType="begin"/>
      </w:r>
      <w:r>
        <w:instrText xml:space="preserve"> PAGEREF _Toc23108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_Toc27417 </w:instrText>
      </w:r>
      <w:r>
        <w:fldChar w:fldCharType="separate"/>
      </w:r>
      <w:r>
        <w:rPr>
          <w:rFonts w:hint="eastAsia"/>
          <w:lang w:val="en-GB"/>
        </w:rPr>
        <w:t xml:space="preserve">4.1 </w:t>
      </w:r>
      <w:r>
        <w:rPr>
          <w:rFonts w:hint="eastAsia"/>
        </w:rPr>
        <w:t>风场计算域</w:t>
      </w:r>
      <w:r>
        <w:tab/>
      </w:r>
      <w:r>
        <w:fldChar w:fldCharType="begin"/>
      </w:r>
      <w:r>
        <w:instrText xml:space="preserve"> PAGEREF _Toc27417 </w:instrText>
      </w:r>
      <w:r>
        <w:fldChar w:fldCharType="separate"/>
      </w:r>
      <w:r>
        <w:t>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_Toc12626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_Toc12626 </w:instrText>
      </w:r>
      <w:r>
        <w:fldChar w:fldCharType="separate"/>
      </w:r>
      <w:r>
        <w:t>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_Toc22960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_Toc22960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_Toc32746 </w:instrText>
      </w:r>
      <w:r>
        <w:fldChar w:fldCharType="separate"/>
      </w:r>
      <w:r>
        <w:rPr>
          <w:rFonts w:hint="eastAsia" w:eastAsia="宋体"/>
          <w:szCs w:val="24"/>
          <w:lang w:val="en-GB"/>
        </w:rPr>
        <w:t xml:space="preserve">4.1.3 </w:t>
      </w:r>
      <w:r>
        <w:rPr>
          <w:rFonts w:hint="eastAsia"/>
        </w:rPr>
        <w:t>过渡季工况风场计算域</w:t>
      </w:r>
      <w:r>
        <w:tab/>
      </w:r>
      <w:r>
        <w:fldChar w:fldCharType="begin"/>
      </w:r>
      <w:r>
        <w:instrText xml:space="preserve"> PAGEREF _Toc32746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_Toc15856 </w:instrText>
      </w:r>
      <w:r>
        <w:fldChar w:fldCharType="separate"/>
      </w:r>
      <w:r>
        <w:rPr>
          <w:rFonts w:hint="eastAsia"/>
          <w:lang w:val="en-GB"/>
        </w:rPr>
        <w:t xml:space="preserve">4.2 </w:t>
      </w:r>
      <w:r>
        <w:rPr>
          <w:rFonts w:hint="eastAsia"/>
        </w:rPr>
        <w:t>网格划分</w:t>
      </w:r>
      <w:r>
        <w:tab/>
      </w:r>
      <w:r>
        <w:fldChar w:fldCharType="begin"/>
      </w:r>
      <w:r>
        <w:instrText xml:space="preserve"> PAGEREF _Toc15856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_Toc1455 </w:instrText>
      </w:r>
      <w:r>
        <w:fldChar w:fldCharType="separate"/>
      </w:r>
      <w:r>
        <w:rPr>
          <w:rFonts w:hint="eastAsia"/>
          <w:lang w:val="en-GB"/>
        </w:rPr>
        <w:t xml:space="preserve">4.3 </w:t>
      </w:r>
      <w:r>
        <w:rPr>
          <w:rFonts w:hint="eastAsia"/>
        </w:rPr>
        <w:t>边界条件</w:t>
      </w:r>
      <w:r>
        <w:tab/>
      </w:r>
      <w:r>
        <w:fldChar w:fldCharType="begin"/>
      </w:r>
      <w:r>
        <w:instrText xml:space="preserve"> PAGEREF _Toc1455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_Toc11561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_Toc11561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_Toc28168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_Toc28168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_Toc11058 </w:instrText>
      </w:r>
      <w:r>
        <w:fldChar w:fldCharType="separate"/>
      </w:r>
      <w:r>
        <w:rPr>
          <w:rFonts w:hint="eastAsia"/>
          <w:lang w:val="en-GB"/>
        </w:rPr>
        <w:t xml:space="preserve">4.4 </w:t>
      </w:r>
      <w:r>
        <w:rPr>
          <w:rFonts w:hint="eastAsia"/>
        </w:rPr>
        <w:t>湍流模型</w:t>
      </w:r>
      <w:r>
        <w:tab/>
      </w:r>
      <w:r>
        <w:fldChar w:fldCharType="begin"/>
      </w:r>
      <w:r>
        <w:instrText xml:space="preserve"> PAGEREF _Toc11058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_Toc17231 </w:instrText>
      </w:r>
      <w:r>
        <w:fldChar w:fldCharType="separate"/>
      </w:r>
      <w:r>
        <w:rPr>
          <w:rFonts w:hint="eastAsia"/>
          <w:lang w:val="en-GB"/>
        </w:rPr>
        <w:t xml:space="preserve">4.5 </w:t>
      </w:r>
      <w:r>
        <w:rPr>
          <w:rFonts w:hint="eastAsia"/>
        </w:rPr>
        <w:t>求解计算</w:t>
      </w:r>
      <w:r>
        <w:tab/>
      </w:r>
      <w:r>
        <w:fldChar w:fldCharType="begin"/>
      </w:r>
      <w:r>
        <w:instrText xml:space="preserve"> PAGEREF _Toc17231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_Toc24408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_Toc24408 </w:instrText>
      </w:r>
      <w:r>
        <w:fldChar w:fldCharType="separate"/>
      </w:r>
      <w:r>
        <w:t>15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_Toc30112 </w:instrText>
      </w:r>
      <w:r>
        <w:fldChar w:fldCharType="separate"/>
      </w:r>
      <w:r>
        <w:rPr>
          <w:rFonts w:hint="eastAsia"/>
        </w:rPr>
        <w:t>5 结果</w:t>
      </w:r>
      <w:r>
        <w:t>分析</w:t>
      </w:r>
      <w:r>
        <w:tab/>
      </w:r>
      <w:r>
        <w:fldChar w:fldCharType="begin"/>
      </w:r>
      <w:r>
        <w:instrText xml:space="preserve"> PAGEREF _Toc30112 </w:instrText>
      </w:r>
      <w:r>
        <w:fldChar w:fldCharType="separate"/>
      </w:r>
      <w:r>
        <w:t>16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_Toc6716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_Toc6716 </w:instrText>
      </w:r>
      <w:r>
        <w:fldChar w:fldCharType="separate"/>
      </w:r>
      <w:r>
        <w:t>16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_Toc14125 </w:instrText>
      </w:r>
      <w:r>
        <w:fldChar w:fldCharType="separate"/>
      </w:r>
      <w:r>
        <w:rPr>
          <w:rFonts w:hint="eastAsia"/>
          <w:lang w:val="en-GB"/>
        </w:rPr>
        <w:t xml:space="preserve">5.2 </w:t>
      </w:r>
      <w:r>
        <w:rPr>
          <w:rFonts w:hint="eastAsia"/>
        </w:rPr>
        <w:t>冬季工况</w:t>
      </w:r>
      <w:r>
        <w:tab/>
      </w:r>
      <w:r>
        <w:fldChar w:fldCharType="begin"/>
      </w:r>
      <w:r>
        <w:instrText xml:space="preserve"> PAGEREF _Toc14125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_Toc2429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_Toc2429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_Toc31438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_Toc31438 </w:instrText>
      </w:r>
      <w:r>
        <w:fldChar w:fldCharType="separate"/>
      </w:r>
      <w:r>
        <w:t>17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_Toc777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_Toc777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_Toc22269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_Toc22269 </w:instrText>
      </w:r>
      <w:r>
        <w:fldChar w:fldCharType="separate"/>
      </w:r>
      <w:r>
        <w:t>18</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_Toc20900 </w:instrText>
      </w:r>
      <w:r>
        <w:fldChar w:fldCharType="separate"/>
      </w:r>
      <w:r>
        <w:rPr>
          <w:rFonts w:hint="eastAsia"/>
          <w:lang w:val="en-GB"/>
        </w:rPr>
        <w:t xml:space="preserve">5.3 </w:t>
      </w:r>
      <w:r>
        <w:rPr>
          <w:rFonts w:hint="eastAsia"/>
        </w:rPr>
        <w:t>夏季工况</w:t>
      </w:r>
      <w:r>
        <w:tab/>
      </w:r>
      <w:r>
        <w:fldChar w:fldCharType="begin"/>
      </w:r>
      <w:r>
        <w:instrText xml:space="preserve"> PAGEREF _Toc20900 </w:instrText>
      </w:r>
      <w:r>
        <w:fldChar w:fldCharType="separate"/>
      </w:r>
      <w:r>
        <w:t>20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_Toc2263 </w:instrText>
      </w:r>
      <w:r>
        <w:fldChar w:fldCharType="separate"/>
      </w:r>
      <w:r>
        <w:rPr>
          <w:rFonts w:hint="eastAsia" w:eastAsia="宋体"/>
          <w:szCs w:val="24"/>
          <w:lang w:val="en-GB"/>
        </w:rPr>
        <w:t xml:space="preserve">5.3.1 </w:t>
      </w:r>
      <w:r>
        <w:rPr>
          <w:rFonts w:hint="eastAsia"/>
        </w:rPr>
        <w:t>无风区计算分析</w:t>
      </w:r>
      <w:r>
        <w:tab/>
      </w:r>
      <w:r>
        <w:fldChar w:fldCharType="begin"/>
      </w:r>
      <w:r>
        <w:instrText xml:space="preserve"> PAGEREF _Toc2263 </w:instrText>
      </w:r>
      <w:r>
        <w:fldChar w:fldCharType="separate"/>
      </w:r>
      <w:r>
        <w:t>21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_Toc3513 </w:instrText>
      </w:r>
      <w:r>
        <w:fldChar w:fldCharType="separate"/>
      </w:r>
      <w:r>
        <w:rPr>
          <w:rFonts w:hint="eastAsia" w:eastAsia="宋体"/>
          <w:szCs w:val="24"/>
          <w:lang w:val="en-GB"/>
        </w:rPr>
        <w:t xml:space="preserve">5.3.2 </w:t>
      </w:r>
      <w:r>
        <w:rPr>
          <w:rFonts w:hint="eastAsia"/>
        </w:rPr>
        <w:t>旋涡区分析</w:t>
      </w:r>
      <w:r>
        <w:tab/>
      </w:r>
      <w:r>
        <w:fldChar w:fldCharType="begin"/>
      </w:r>
      <w:r>
        <w:instrText xml:space="preserve"> PAGEREF _Toc3513 </w:instrText>
      </w:r>
      <w:r>
        <w:fldChar w:fldCharType="separate"/>
      </w:r>
      <w:r>
        <w:t>21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_Toc24533 </w:instrText>
      </w:r>
      <w:r>
        <w:fldChar w:fldCharType="separate"/>
      </w:r>
      <w:r>
        <w:rPr>
          <w:rFonts w:hint="eastAsia" w:eastAsia="宋体"/>
          <w:szCs w:val="24"/>
          <w:lang w:val="en-GB"/>
        </w:rPr>
        <w:t xml:space="preserve">5.3.3 </w:t>
      </w:r>
      <w:r>
        <w:rPr>
          <w:rFonts w:hint="eastAsia"/>
        </w:rPr>
        <w:t>旋涡区/无风区达标结果汇总</w:t>
      </w:r>
      <w:r>
        <w:tab/>
      </w:r>
      <w:r>
        <w:fldChar w:fldCharType="begin"/>
      </w:r>
      <w:r>
        <w:instrText xml:space="preserve"> PAGEREF _Toc24533 </w:instrText>
      </w:r>
      <w:r>
        <w:fldChar w:fldCharType="separate"/>
      </w:r>
      <w:r>
        <w:t>22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_Toc26285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_Toc26285 </w:instrText>
      </w:r>
      <w:r>
        <w:fldChar w:fldCharType="separate"/>
      </w:r>
      <w:r>
        <w:t>22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_Toc15438 </w:instrText>
      </w:r>
      <w:r>
        <w:fldChar w:fldCharType="separate"/>
      </w:r>
      <w:r>
        <w:rPr>
          <w:rFonts w:hint="eastAsia"/>
          <w:lang w:val="en-GB"/>
        </w:rPr>
        <w:t xml:space="preserve">5.4 </w:t>
      </w:r>
      <w:r>
        <w:rPr>
          <w:rFonts w:hint="eastAsia"/>
        </w:rPr>
        <w:t>过渡季工况</w:t>
      </w:r>
      <w:r>
        <w:tab/>
      </w:r>
      <w:r>
        <w:fldChar w:fldCharType="begin"/>
      </w:r>
      <w:r>
        <w:instrText xml:space="preserve"> PAGEREF _Toc15438 </w:instrText>
      </w:r>
      <w:r>
        <w:fldChar w:fldCharType="separate"/>
      </w:r>
      <w:r>
        <w:t>24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_Toc6108 </w:instrText>
      </w:r>
      <w:r>
        <w:fldChar w:fldCharType="separate"/>
      </w:r>
      <w:r>
        <w:rPr>
          <w:rFonts w:hint="eastAsia" w:eastAsia="宋体"/>
          <w:szCs w:val="24"/>
          <w:lang w:val="en-GB"/>
        </w:rPr>
        <w:t xml:space="preserve">5.4.1 </w:t>
      </w:r>
      <w:r>
        <w:rPr>
          <w:rFonts w:hint="eastAsia"/>
        </w:rPr>
        <w:t>无风区计算分析</w:t>
      </w:r>
      <w:r>
        <w:tab/>
      </w:r>
      <w:r>
        <w:fldChar w:fldCharType="begin"/>
      </w:r>
      <w:r>
        <w:instrText xml:space="preserve"> PAGEREF _Toc6108 </w:instrText>
      </w:r>
      <w:r>
        <w:fldChar w:fldCharType="separate"/>
      </w:r>
      <w:r>
        <w:t>24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_Toc24333 </w:instrText>
      </w:r>
      <w:r>
        <w:fldChar w:fldCharType="separate"/>
      </w:r>
      <w:r>
        <w:rPr>
          <w:rFonts w:hint="eastAsia" w:eastAsia="宋体"/>
          <w:szCs w:val="24"/>
          <w:lang w:val="en-GB"/>
        </w:rPr>
        <w:t xml:space="preserve">5.4.2 </w:t>
      </w:r>
      <w:r>
        <w:rPr>
          <w:rFonts w:hint="eastAsia"/>
        </w:rPr>
        <w:t>旋涡区分析</w:t>
      </w:r>
      <w:r>
        <w:tab/>
      </w:r>
      <w:r>
        <w:fldChar w:fldCharType="begin"/>
      </w:r>
      <w:r>
        <w:instrText xml:space="preserve"> PAGEREF _Toc24333 </w:instrText>
      </w:r>
      <w:r>
        <w:fldChar w:fldCharType="separate"/>
      </w:r>
      <w:r>
        <w:t>25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_Toc28252 </w:instrText>
      </w:r>
      <w:r>
        <w:fldChar w:fldCharType="separate"/>
      </w:r>
      <w:r>
        <w:rPr>
          <w:rFonts w:hint="eastAsia" w:eastAsia="宋体"/>
          <w:szCs w:val="24"/>
          <w:lang w:val="en-GB"/>
        </w:rPr>
        <w:t xml:space="preserve">5.4.3 </w:t>
      </w:r>
      <w:r>
        <w:rPr>
          <w:rFonts w:hint="eastAsia"/>
        </w:rPr>
        <w:t>旋涡区/无风区达标结果汇总</w:t>
      </w:r>
      <w:r>
        <w:tab/>
      </w:r>
      <w:r>
        <w:fldChar w:fldCharType="begin"/>
      </w:r>
      <w:r>
        <w:instrText xml:space="preserve"> PAGEREF _Toc28252 </w:instrText>
      </w:r>
      <w:r>
        <w:fldChar w:fldCharType="separate"/>
      </w:r>
      <w:r>
        <w:t>25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_Toc31352 </w:instrText>
      </w:r>
      <w:r>
        <w:fldChar w:fldCharType="separate"/>
      </w:r>
      <w:r>
        <w:rPr>
          <w:rFonts w:hint="eastAsia" w:eastAsia="宋体"/>
          <w:szCs w:val="24"/>
          <w:lang w:val="en-GB"/>
        </w:rPr>
        <w:t xml:space="preserve">5.4.4 </w:t>
      </w:r>
      <w:r>
        <w:rPr>
          <w:rFonts w:hint="eastAsia"/>
        </w:rPr>
        <w:t>外窗内外表面风压差达标分析</w:t>
      </w:r>
      <w:r>
        <w:tab/>
      </w:r>
      <w:r>
        <w:fldChar w:fldCharType="begin"/>
      </w:r>
      <w:r>
        <w:instrText xml:space="preserve"> PAGEREF _Toc31352 </w:instrText>
      </w:r>
      <w:r>
        <w:fldChar w:fldCharType="separate"/>
      </w:r>
      <w:r>
        <w:t>25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_Toc11771 </w:instrText>
      </w:r>
      <w:r>
        <w:fldChar w:fldCharType="separate"/>
      </w:r>
      <w:r>
        <w:rPr>
          <w:rFonts w:hint="eastAsia"/>
          <w:lang w:val="en-GB"/>
        </w:rPr>
        <w:t xml:space="preserve">5.5 </w:t>
      </w:r>
      <w:r>
        <w:rPr>
          <w:rFonts w:hint="eastAsia"/>
        </w:rPr>
        <w:t>结论</w:t>
      </w:r>
      <w:r>
        <w:tab/>
      </w:r>
      <w:r>
        <w:fldChar w:fldCharType="begin"/>
      </w:r>
      <w:r>
        <w:instrText xml:space="preserve"> PAGEREF _Toc11771 </w:instrText>
      </w:r>
      <w:r>
        <w:fldChar w:fldCharType="separate"/>
      </w:r>
      <w:r>
        <w:t>27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_Toc14880 </w:instrText>
      </w:r>
      <w:r>
        <w:fldChar w:fldCharType="separate"/>
      </w:r>
      <w:r>
        <w:rPr>
          <w:rFonts w:hint="eastAsia" w:eastAsia="宋体"/>
          <w:szCs w:val="24"/>
          <w:lang w:val="en-GB"/>
        </w:rPr>
        <w:t xml:space="preserve">5.5.1 </w:t>
      </w:r>
      <w:r>
        <w:rPr>
          <w:rFonts w:hint="eastAsia"/>
        </w:rPr>
        <w:t>冬季工况达标判断</w:t>
      </w:r>
      <w:r>
        <w:tab/>
      </w:r>
      <w:r>
        <w:fldChar w:fldCharType="begin"/>
      </w:r>
      <w:r>
        <w:instrText xml:space="preserve"> PAGEREF _Toc14880 </w:instrText>
      </w:r>
      <w:r>
        <w:fldChar w:fldCharType="separate"/>
      </w:r>
      <w:r>
        <w:t>27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_Toc22294 </w:instrText>
      </w:r>
      <w:r>
        <w:fldChar w:fldCharType="separate"/>
      </w:r>
      <w:r>
        <w:rPr>
          <w:rFonts w:hint="eastAsia" w:eastAsia="宋体"/>
          <w:szCs w:val="24"/>
          <w:lang w:val="en-GB"/>
        </w:rPr>
        <w:t xml:space="preserve">5.5.2 </w:t>
      </w:r>
      <w:r>
        <w:rPr>
          <w:rFonts w:hint="eastAsia"/>
        </w:rPr>
        <w:t>过渡季、夏季工况达标判断</w:t>
      </w:r>
      <w:r>
        <w:tab/>
      </w:r>
      <w:r>
        <w:fldChar w:fldCharType="begin"/>
      </w:r>
      <w:r>
        <w:instrText xml:space="preserve"> PAGEREF _Toc22294 </w:instrText>
      </w:r>
      <w:r>
        <w:fldChar w:fldCharType="separate"/>
      </w:r>
      <w:r>
        <w:t>27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_Toc23480 </w:instrText>
      </w:r>
      <w:r>
        <w:fldChar w:fldCharType="separate"/>
      </w:r>
      <w:r>
        <w:rPr>
          <w:rFonts w:hint="eastAsia"/>
          <w:lang w:val="en-GB"/>
        </w:rPr>
        <w:t xml:space="preserve">5.6 </w:t>
      </w:r>
      <w:r>
        <w:rPr>
          <w:rFonts w:hint="eastAsia"/>
        </w:rPr>
        <w:t>附录</w:t>
      </w:r>
      <w:r>
        <w:tab/>
      </w:r>
      <w:r>
        <w:fldChar w:fldCharType="begin"/>
      </w:r>
      <w:r>
        <w:instrText xml:space="preserve"> PAGEREF _Toc23480 </w:instrText>
      </w:r>
      <w:r>
        <w:fldChar w:fldCharType="separate"/>
      </w:r>
      <w:r>
        <w:t>27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_Toc7222 </w:instrText>
      </w:r>
      <w:r>
        <w:fldChar w:fldCharType="separate"/>
      </w:r>
      <w:r>
        <w:rPr>
          <w:rFonts w:hint="eastAsia" w:eastAsia="宋体"/>
          <w:szCs w:val="24"/>
          <w:lang w:val="en-GB"/>
        </w:rPr>
        <w:t xml:space="preserve">5.6.1 </w:t>
      </w:r>
      <w:r>
        <w:rPr>
          <w:rFonts w:hint="eastAsia"/>
        </w:rPr>
        <w:t>参评建筑迎背风面窗平均风压差表</w:t>
      </w:r>
      <w:r>
        <w:tab/>
      </w:r>
      <w:r>
        <w:fldChar w:fldCharType="begin"/>
      </w:r>
      <w:r>
        <w:instrText xml:space="preserve"> PAGEREF _Toc7222 </w:instrText>
      </w:r>
      <w:r>
        <w:fldChar w:fldCharType="separate"/>
      </w:r>
      <w:r>
        <w:t>27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_Toc3259 </w:instrText>
      </w:r>
      <w:r>
        <w:fldChar w:fldCharType="separate"/>
      </w:r>
      <w:r>
        <w:rPr>
          <w:rFonts w:hint="eastAsia" w:eastAsia="宋体"/>
          <w:szCs w:val="24"/>
          <w:lang w:val="en-GB"/>
        </w:rPr>
        <w:t xml:space="preserve">5.6.2 </w:t>
      </w:r>
      <w:r>
        <w:rPr>
          <w:rFonts w:hint="eastAsia"/>
        </w:rPr>
        <w:t>不参评建筑迎背风面窗平均风压差表</w:t>
      </w:r>
      <w:r>
        <w:tab/>
      </w:r>
      <w:r>
        <w:fldChar w:fldCharType="begin"/>
      </w:r>
      <w:r>
        <w:instrText xml:space="preserve"> PAGEREF _Toc3259 </w:instrText>
      </w:r>
      <w:r>
        <w:fldChar w:fldCharType="separate"/>
      </w:r>
      <w:r>
        <w:t>28</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12" w:name="_Toc20441"/>
      <w:bookmarkStart w:id="13" w:name="_Toc452108759"/>
      <w:r>
        <w:rPr>
          <w:rFonts w:hint="eastAsia"/>
        </w:rPr>
        <w:t>项目概况</w:t>
      </w:r>
      <w:bookmarkEnd w:id="12"/>
    </w:p>
    <w:p>
      <w:pPr>
        <w:pStyle w:val="3"/>
        <w:ind w:firstLine="420"/>
        <w:rPr>
          <w:lang w:val="en-US"/>
        </w:rPr>
      </w:pPr>
      <w:bookmarkStart w:id="14"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5" w:name="_Toc5043"/>
      <w:bookmarkStart w:id="16" w:name="_Toc452108760"/>
      <w:r>
        <w:rPr>
          <w:rFonts w:hint="eastAsia"/>
        </w:rPr>
        <w:t>总</w:t>
      </w:r>
      <w:r>
        <w:t>平面图</w:t>
      </w:r>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pPr>
              <w:pStyle w:val="3"/>
              <w:spacing w:line="240" w:lineRule="auto"/>
              <w:ind w:firstLine="0" w:firstLineChars="0"/>
              <w:jc w:val="center"/>
              <w:rPr>
                <w:lang w:val="en-US"/>
              </w:rPr>
            </w:pPr>
          </w:p>
        </w:tc>
        <w:tc>
          <w:tcPr>
            <w:tcW w:w="1193"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pPr>
              <w:pStyle w:val="3"/>
              <w:spacing w:line="220" w:lineRule="exact"/>
              <w:ind w:firstLine="0" w:firstLineChars="0"/>
              <w:jc w:val="center"/>
              <w:rPr>
                <w:lang w:val="en-US"/>
              </w:rPr>
            </w:pPr>
          </w:p>
        </w:tc>
        <w:tc>
          <w:tcPr>
            <w:tcW w:w="1417"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pPr>
              <w:pStyle w:val="3"/>
              <w:spacing w:line="240" w:lineRule="auto"/>
              <w:ind w:firstLine="0" w:firstLineChars="0"/>
              <w:jc w:val="center"/>
              <w:rPr>
                <w:lang w:val="en-US"/>
              </w:rPr>
            </w:pPr>
          </w:p>
        </w:tc>
        <w:tc>
          <w:tcPr>
            <w:tcW w:w="1418"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pPr>
              <w:pStyle w:val="3"/>
              <w:spacing w:line="240" w:lineRule="auto"/>
              <w:ind w:firstLine="0" w:firstLineChars="0"/>
              <w:jc w:val="center"/>
              <w:rPr>
                <w:lang w:val="en-US"/>
              </w:rPr>
            </w:pPr>
          </w:p>
        </w:tc>
        <w:tc>
          <w:tcPr>
            <w:tcW w:w="1275"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pPr>
              <w:pStyle w:val="3"/>
              <w:spacing w:line="240" w:lineRule="auto"/>
              <w:ind w:firstLine="0" w:firstLineChars="0"/>
              <w:jc w:val="center"/>
              <w:rPr>
                <w:lang w:val="en-US"/>
              </w:rPr>
            </w:pPr>
          </w:p>
        </w:tc>
        <w:tc>
          <w:tcPr>
            <w:tcW w:w="1193"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pPr>
              <w:pStyle w:val="3"/>
              <w:spacing w:line="220" w:lineRule="exact"/>
              <w:ind w:firstLine="0" w:firstLineChars="0"/>
              <w:jc w:val="center"/>
              <w:rPr>
                <w:lang w:val="en-US"/>
              </w:rPr>
            </w:pPr>
          </w:p>
        </w:tc>
        <w:tc>
          <w:tcPr>
            <w:tcW w:w="1417"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pPr>
              <w:pStyle w:val="3"/>
              <w:spacing w:line="240" w:lineRule="auto"/>
              <w:ind w:firstLine="0" w:firstLineChars="0"/>
              <w:jc w:val="center"/>
              <w:rPr>
                <w:lang w:val="en-US"/>
              </w:rPr>
            </w:pPr>
          </w:p>
        </w:tc>
        <w:tc>
          <w:tcPr>
            <w:tcW w:w="1418"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pPr>
              <w:pStyle w:val="3"/>
              <w:spacing w:line="240" w:lineRule="auto"/>
              <w:ind w:firstLine="0" w:firstLineChars="0"/>
              <w:jc w:val="center"/>
              <w:rPr>
                <w:lang w:val="en-US"/>
              </w:rPr>
            </w:pPr>
          </w:p>
        </w:tc>
        <w:tc>
          <w:tcPr>
            <w:tcW w:w="1275" w:type="dxa"/>
            <w:vAlign w:val="center"/>
          </w:tcPr>
          <w:p>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pPr>
        <w:pStyle w:val="3"/>
        <w:ind w:firstLine="0" w:firstLineChars="0"/>
        <w:jc w:val="center"/>
        <w:rPr>
          <w:lang w:val="en-US"/>
        </w:rPr>
      </w:pPr>
    </w:p>
    <w:p>
      <w:pPr>
        <w:pStyle w:val="3"/>
        <w:ind w:firstLine="0" w:firstLineChars="0"/>
        <w:jc w:val="center"/>
        <w:rPr>
          <w:lang w:val="en-US"/>
        </w:rPr>
      </w:pPr>
    </w:p>
    <w:p>
      <w:pPr>
        <w:pStyle w:val="3"/>
        <w:ind w:firstLine="0" w:firstLineChars="0"/>
        <w:jc w:val="center"/>
        <w:rPr>
          <w:lang w:val="en-US"/>
        </w:rPr>
      </w:pPr>
    </w:p>
    <w:p>
      <w:pPr>
        <w:pStyle w:val="3"/>
        <w:ind w:firstLine="0" w:firstLineChars="0"/>
        <w:jc w:val="center"/>
        <w:rPr>
          <w:lang w:val="en-US"/>
        </w:rPr>
      </w:pPr>
      <w:r>
        <w:rPr>
          <w:rFonts w:hint="eastAsia"/>
          <w:lang w:val="en-US"/>
        </w:rPr>
        <w:t xml:space="preserve"> </w:t>
      </w:r>
      <w:bookmarkStart w:id="17" w:name="总平面图"/>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8"/>
                    <a:stretch>
                      <a:fillRect/>
                    </a:stretch>
                  </pic:blipFill>
                  <pic:spPr>
                    <a:xfrm>
                      <a:off x="0" y="0"/>
                      <a:ext cx="5667375" cy="34671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8" w:name="_Toc26951"/>
      <w:bookmarkStart w:id="19" w:name="_Toc452108761"/>
      <w:r>
        <w:rPr>
          <w:rFonts w:hint="eastAsia"/>
        </w:rPr>
        <w:t>三</w:t>
      </w:r>
      <w:r>
        <w:t>维视图</w:t>
      </w:r>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pPr>
              <w:pStyle w:val="3"/>
              <w:spacing w:line="240" w:lineRule="auto"/>
              <w:ind w:firstLine="0" w:firstLineChars="0"/>
              <w:jc w:val="center"/>
              <w:rPr>
                <w:lang w:val="en-US"/>
              </w:rPr>
            </w:pPr>
          </w:p>
        </w:tc>
        <w:tc>
          <w:tcPr>
            <w:tcW w:w="1193"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pPr>
              <w:pStyle w:val="3"/>
              <w:spacing w:line="220" w:lineRule="exact"/>
              <w:ind w:firstLine="0" w:firstLineChars="0"/>
              <w:jc w:val="center"/>
              <w:rPr>
                <w:lang w:val="en-US"/>
              </w:rPr>
            </w:pPr>
          </w:p>
        </w:tc>
        <w:tc>
          <w:tcPr>
            <w:tcW w:w="1417"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pPr>
              <w:pStyle w:val="3"/>
              <w:spacing w:line="240" w:lineRule="auto"/>
              <w:ind w:firstLine="0" w:firstLineChars="0"/>
              <w:jc w:val="center"/>
              <w:rPr>
                <w:lang w:val="en-US"/>
              </w:rPr>
            </w:pPr>
          </w:p>
        </w:tc>
        <w:tc>
          <w:tcPr>
            <w:tcW w:w="1418"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pPr>
              <w:pStyle w:val="3"/>
              <w:spacing w:line="240" w:lineRule="auto"/>
              <w:ind w:firstLine="0" w:firstLineChars="0"/>
              <w:jc w:val="center"/>
              <w:rPr>
                <w:lang w:val="en-US"/>
              </w:rPr>
            </w:pPr>
          </w:p>
        </w:tc>
        <w:tc>
          <w:tcPr>
            <w:tcW w:w="1275"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pPr>
              <w:pStyle w:val="3"/>
              <w:spacing w:line="240" w:lineRule="auto"/>
              <w:ind w:firstLine="0" w:firstLineChars="0"/>
              <w:jc w:val="center"/>
              <w:rPr>
                <w:lang w:val="en-US"/>
              </w:rPr>
            </w:pPr>
          </w:p>
        </w:tc>
        <w:tc>
          <w:tcPr>
            <w:tcW w:w="1193"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pPr>
              <w:pStyle w:val="3"/>
              <w:spacing w:line="220" w:lineRule="exact"/>
              <w:ind w:firstLine="0" w:firstLineChars="0"/>
              <w:jc w:val="center"/>
              <w:rPr>
                <w:lang w:val="en-US"/>
              </w:rPr>
            </w:pPr>
          </w:p>
        </w:tc>
        <w:tc>
          <w:tcPr>
            <w:tcW w:w="1417"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pPr>
              <w:pStyle w:val="3"/>
              <w:spacing w:line="240" w:lineRule="auto"/>
              <w:ind w:firstLine="0" w:firstLineChars="0"/>
              <w:jc w:val="center"/>
              <w:rPr>
                <w:lang w:val="en-US"/>
              </w:rPr>
            </w:pPr>
          </w:p>
        </w:tc>
        <w:tc>
          <w:tcPr>
            <w:tcW w:w="1418" w:type="dxa"/>
            <w:vAlign w:val="center"/>
          </w:tcPr>
          <w:p>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pPr>
              <w:pStyle w:val="3"/>
              <w:spacing w:line="240" w:lineRule="auto"/>
              <w:ind w:firstLine="0" w:firstLineChars="0"/>
              <w:jc w:val="center"/>
              <w:rPr>
                <w:lang w:val="en-US"/>
              </w:rPr>
            </w:pPr>
          </w:p>
        </w:tc>
        <w:tc>
          <w:tcPr>
            <w:tcW w:w="1275" w:type="dxa"/>
            <w:vAlign w:val="center"/>
          </w:tcPr>
          <w:p>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pPr>
        <w:pStyle w:val="3"/>
        <w:ind w:firstLine="0" w:firstLineChars="0"/>
        <w:jc w:val="center"/>
        <w:rPr>
          <w:lang w:val="en-US"/>
        </w:rPr>
      </w:pPr>
    </w:p>
    <w:p>
      <w:pPr>
        <w:pStyle w:val="3"/>
        <w:ind w:firstLine="0" w:firstLineChars="0"/>
        <w:jc w:val="center"/>
        <w:rPr>
          <w:lang w:val="en-US"/>
        </w:rPr>
      </w:pPr>
    </w:p>
    <w:p>
      <w:pPr>
        <w:pStyle w:val="3"/>
        <w:ind w:firstLine="0" w:firstLineChars="0"/>
        <w:jc w:val="center"/>
        <w:rPr>
          <w:lang w:val="en-US"/>
        </w:rPr>
      </w:pPr>
    </w:p>
    <w:p>
      <w:pPr>
        <w:pStyle w:val="3"/>
        <w:ind w:firstLine="0" w:firstLineChars="0"/>
        <w:jc w:val="center"/>
        <w:rPr>
          <w:lang w:val="en-US"/>
        </w:rPr>
      </w:pPr>
      <w:r>
        <w:rPr>
          <w:rFonts w:hint="eastAsia"/>
          <w:lang w:val="en-US"/>
        </w:rPr>
        <w:t xml:space="preserve"> </w:t>
      </w:r>
      <w:bookmarkStart w:id="20" w:name="三维视图"/>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9"/>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1" w:name="_Toc29458"/>
      <w:bookmarkStart w:id="22" w:name="TitleFormat"/>
      <w:bookmarkStart w:id="23" w:name="_Toc452108762"/>
      <w:r>
        <w:rPr>
          <w:rFonts w:hint="eastAsia"/>
        </w:rPr>
        <w:t>计算</w:t>
      </w:r>
      <w:r>
        <w:t>依据</w:t>
      </w:r>
      <w:bookmarkEnd w:id="21"/>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4" w:name="参考标准名称1"/>
      <w:r>
        <w:rPr>
          <w:rFonts w:hint="eastAsia"/>
          <w:lang w:val="en-US"/>
        </w:rPr>
        <w:t>《绿色建筑评价标准》GB/T50378-2019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5" w:name="_Toc11340"/>
      <w:bookmarkStart w:id="26" w:name="_Toc452108763"/>
      <w:r>
        <w:rPr>
          <w:rFonts w:hint="eastAsia"/>
        </w:rPr>
        <w:t>参考</w:t>
      </w:r>
      <w:r>
        <w:t>标准</w:t>
      </w:r>
      <w:bookmarkEnd w:id="25"/>
    </w:p>
    <w:p>
      <w:pPr>
        <w:pStyle w:val="3"/>
        <w:ind w:firstLine="420"/>
        <w:rPr>
          <w:lang w:val="en-US"/>
        </w:rPr>
      </w:pPr>
      <w:r>
        <w:rPr>
          <w:rFonts w:hint="eastAsia"/>
          <w:lang w:val="en-US"/>
        </w:rPr>
        <w:t>室外风环境评价依据为</w:t>
      </w:r>
      <w:bookmarkStart w:id="27" w:name="参考标准名称2"/>
      <w:r>
        <w:rPr>
          <w:rFonts w:hint="eastAsia"/>
          <w:lang w:val="en-US"/>
        </w:rPr>
        <w:t>《绿色建筑评价标准》GB/T50378-2019中有关室外风环境的条目要求。具体要求如下：</w:t>
      </w:r>
    </w:p>
    <w:p>
      <w:pPr>
        <w:pStyle w:val="3"/>
        <w:ind w:firstLine="420"/>
        <w:rPr>
          <w:lang w:val="en-US"/>
        </w:rPr>
      </w:pPr>
      <w:bookmarkStart w:id="28" w:name="_Toc451698935"/>
      <w:bookmarkStart w:id="29" w:name="_Toc452108764"/>
      <w:bookmarkStart w:id="30"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1" w:name="参考标准冬季风速得分"/>
      <w:r>
        <w:rPr>
          <w:lang w:val="en-US"/>
        </w:rPr>
        <w:t>3</w:t>
      </w:r>
      <w:r>
        <w:rPr>
          <w:rFonts w:hint="eastAsia"/>
          <w:lang w:val="en-US"/>
        </w:rPr>
        <w:t>分；除迎风第一排建筑外，建筑迎风面与背风面表面风压差不超过5Pa，得</w:t>
      </w:r>
      <w:bookmarkStart w:id="32" w:name="参考标准冬季风压得分"/>
      <w:r>
        <w:rPr>
          <w:lang w:val="en-US"/>
        </w:rPr>
        <w:t>2</w:t>
      </w:r>
      <w:bookmarkEnd w:id="32"/>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3" w:name="参考标准夏季风速得分"/>
      <w:r>
        <w:rPr>
          <w:lang w:val="en-US"/>
        </w:rPr>
        <w:t>3</w:t>
      </w:r>
      <w:r>
        <w:rPr>
          <w:rFonts w:hint="eastAsia"/>
          <w:lang w:val="en-US"/>
        </w:rPr>
        <w:t>分；50%以上可开启外窗室内外表面的风压差大于0.5Pa，得</w:t>
      </w:r>
      <w:bookmarkStart w:id="34" w:name="参考标准夏季风压得分"/>
      <w:r>
        <w:rPr>
          <w:lang w:val="en-US"/>
        </w:rPr>
        <w:t>2</w:t>
      </w:r>
      <w:bookmarkEnd w:id="34"/>
      <w:r>
        <w:rPr>
          <w:rFonts w:hint="eastAsia"/>
          <w:lang w:val="en-US"/>
        </w:rPr>
        <w:t>分。</w:t>
      </w:r>
    </w:p>
    <w:p>
      <w:pPr>
        <w:pStyle w:val="2"/>
      </w:pPr>
      <w:bookmarkStart w:id="35" w:name="_Toc23108"/>
      <w:r>
        <w:rPr>
          <w:rFonts w:hint="eastAsia"/>
        </w:rPr>
        <w:t>计算原理</w:t>
      </w:r>
      <w:bookmarkEnd w:id="35"/>
    </w:p>
    <w:p>
      <w:pPr>
        <w:pStyle w:val="4"/>
        <w:numPr>
          <w:ilvl w:val="1"/>
          <w:numId w:val="3"/>
        </w:numPr>
      </w:pPr>
      <w:bookmarkStart w:id="36" w:name="_Toc509844740"/>
      <w:bookmarkStart w:id="37" w:name="_Toc27417"/>
      <w:bookmarkStart w:id="38" w:name="_Toc452108765"/>
      <w:bookmarkStart w:id="39" w:name="_Toc451698937"/>
      <w:r>
        <w:rPr>
          <w:rFonts w:hint="eastAsia"/>
        </w:rPr>
        <w:t>风场计算域</w:t>
      </w:r>
      <w:bookmarkEnd w:id="36"/>
      <w:bookmarkEnd w:id="3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40" w:name="_Toc12626"/>
      <w:r>
        <w:rPr>
          <w:rFonts w:hint="eastAsia"/>
        </w:rPr>
        <w:t>冬季工况风场计算域</w:t>
      </w:r>
      <w:bookmarkEnd w:id="4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0"/>
                    <a:stretch>
                      <a:fillRect/>
                    </a:stretch>
                  </pic:blipFill>
                  <pic:spPr>
                    <a:xfrm>
                      <a:off x="0" y="0"/>
                      <a:ext cx="5667375" cy="3305175"/>
                    </a:xfrm>
                    <a:prstGeom prst="rect">
                      <a:avLst/>
                    </a:prstGeom>
                  </pic:spPr>
                </pic:pic>
              </a:graphicData>
            </a:graphic>
          </wp:inline>
        </w:drawing>
      </w:r>
    </w:p>
    <w:p>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5"/>
        <w:numPr>
          <w:ilvl w:val="2"/>
          <w:numId w:val="3"/>
        </w:numPr>
      </w:pPr>
      <w:bookmarkStart w:id="41" w:name="_Toc22960"/>
      <w:r>
        <w:rPr>
          <w:rFonts w:hint="eastAsia"/>
        </w:rPr>
        <w:t>夏季工况风场计算域</w:t>
      </w:r>
      <w:bookmarkEnd w:id="4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3305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1"/>
                    <a:stretch>
                      <a:fillRect/>
                    </a:stretch>
                  </pic:blipFill>
                  <pic:spPr>
                    <a:xfrm>
                      <a:off x="0" y="0"/>
                      <a:ext cx="5667375" cy="3305175"/>
                    </a:xfrm>
                    <a:prstGeom prst="rect">
                      <a:avLst/>
                    </a:prstGeom>
                  </pic:spPr>
                </pic:pic>
              </a:graphicData>
            </a:graphic>
          </wp:inline>
        </w:drawing>
      </w:r>
    </w:p>
    <w:p>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5"/>
        <w:numPr>
          <w:ilvl w:val="2"/>
          <w:numId w:val="3"/>
        </w:numPr>
      </w:pPr>
      <w:bookmarkStart w:id="42" w:name="_Toc32746"/>
      <w:r>
        <w:rPr>
          <w:rFonts w:hint="eastAsia"/>
        </w:rPr>
        <w:t>过渡季工况风场计算域</w:t>
      </w:r>
      <w:bookmarkEnd w:id="42"/>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33051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1"/>
                    <a:stretch>
                      <a:fillRect/>
                    </a:stretch>
                  </pic:blipFill>
                  <pic:spPr>
                    <a:xfrm>
                      <a:off x="0" y="0"/>
                      <a:ext cx="5667375" cy="3305175"/>
                    </a:xfrm>
                    <a:prstGeom prst="rect">
                      <a:avLst/>
                    </a:prstGeom>
                  </pic:spPr>
                </pic:pic>
              </a:graphicData>
            </a:graphic>
          </wp:inline>
        </w:drawing>
      </w:r>
    </w:p>
    <w:p>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3" w:name="计算域"/>
      <w:bookmarkEnd w:id="43"/>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4" w:name="_Toc509844741"/>
      <w:bookmarkStart w:id="45" w:name="_Toc15856"/>
      <w:r>
        <w:rPr>
          <w:rFonts w:hint="eastAsia"/>
        </w:rPr>
        <w:t>网格划分</w:t>
      </w:r>
      <w:bookmarkEnd w:id="44"/>
      <w:bookmarkEnd w:id="45"/>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r>
        <w:rPr>
          <w:rFonts w:hint="eastAsia"/>
        </w:rPr>
        <w:t>1）一般</w:t>
      </w:r>
      <w:bookmarkStart w:id="46" w:name="_GoBack"/>
      <w:bookmarkEnd w:id="46"/>
      <w:r>
        <w:rPr>
          <w:rFonts w:hint="eastAsia"/>
        </w:rPr>
        <w:t>网格：指除靠近地面和建筑以外的网格，通常不需要特别加密处理</w:t>
      </w:r>
    </w:p>
    <w:p>
      <w:pPr>
        <w:pStyle w:val="12"/>
        <w:numPr>
          <w:ilvl w:val="0"/>
          <w:numId w:val="4"/>
        </w:numPr>
        <w:spacing w:before="156"/>
      </w:pPr>
      <w:bookmarkStart w:id="47" w:name="OLE_LINK15"/>
      <w:r>
        <w:rPr>
          <w:rFonts w:hint="eastAsia"/>
        </w:rPr>
        <w:t>分弧精度：对于有圆弧特征的建筑局部，把圆弧分解为线段时，弦到弧的最大距离；</w:t>
      </w:r>
    </w:p>
    <w:bookmarkEnd w:id="47"/>
    <w:p>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firstLine="210" w:firstLineChars="100"/>
      </w:pPr>
      <w:r>
        <w:rPr>
          <w:rFonts w:hint="eastAsia"/>
        </w:rPr>
        <w:t>以下为本项目的网格划分信息，上述网格方案对网格的控制分别体现在相应的网格参数中：</w:t>
      </w:r>
    </w:p>
    <w:p>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lang w:val="en-US"/>
              </w:rPr>
            </w:pPr>
            <w:r>
              <w:t>194056</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16.0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bl>
    <w:p>
      <w:pPr>
        <w:rPr>
          <w:szCs w:val="21"/>
          <w:lang w:val="en-US"/>
        </w:rPr>
      </w:pPr>
    </w:p>
    <w:p>
      <w:pPr>
        <w:jc w:val="center"/>
      </w:pPr>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2"/>
                    <a:stretch>
                      <a:fillRect/>
                    </a:stretch>
                  </pic:blipFill>
                  <pic:spPr>
                    <a:xfrm>
                      <a:off x="0" y="0"/>
                      <a:ext cx="5667375" cy="339090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网格图-冬季</w:t>
      </w:r>
    </w:p>
    <w:p>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lang w:val="en-US"/>
              </w:rPr>
            </w:pPr>
            <w:r>
              <w:t>199760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16.0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bl>
    <w:p>
      <w:pPr>
        <w:rPr>
          <w:szCs w:val="21"/>
          <w:lang w:val="en-US"/>
        </w:rPr>
      </w:pPr>
    </w:p>
    <w:p>
      <w:pPr>
        <w:jc w:val="center"/>
      </w:pPr>
      <w:r>
        <w:drawing>
          <wp:inline distT="0" distB="0" distL="0" distR="0">
            <wp:extent cx="5667375" cy="33909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3"/>
                    <a:stretch>
                      <a:fillRect/>
                    </a:stretch>
                  </pic:blipFill>
                  <pic:spPr>
                    <a:xfrm>
                      <a:off x="0" y="0"/>
                      <a:ext cx="5667375" cy="339090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lang w:val="en-US"/>
              </w:rPr>
            </w:pPr>
            <w:r>
              <w:t>199760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16.0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bl>
    <w:p>
      <w:pPr>
        <w:rPr>
          <w:szCs w:val="21"/>
          <w:lang w:val="en-US"/>
        </w:rPr>
      </w:pPr>
    </w:p>
    <w:p>
      <w:pPr>
        <w:jc w:val="center"/>
      </w:pPr>
      <w:r>
        <w:drawing>
          <wp:inline distT="0" distB="0" distL="0" distR="0">
            <wp:extent cx="5667375" cy="33909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3"/>
                    <a:stretch>
                      <a:fillRect/>
                    </a:stretch>
                  </pic:blipFill>
                  <pic:spPr>
                    <a:xfrm>
                      <a:off x="0" y="0"/>
                      <a:ext cx="5667375" cy="339090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网格图-过渡季</w:t>
      </w:r>
    </w:p>
    <w:p>
      <w:pPr>
        <w:pStyle w:val="3"/>
        <w:ind w:firstLine="630" w:firstLineChars="300"/>
        <w:rPr>
          <w:rFonts w:ascii="黑体" w:hAnsi="黑体" w:eastAsia="黑体"/>
          <w:szCs w:val="20"/>
          <w:lang w:val="en-US"/>
        </w:rPr>
      </w:pPr>
      <w:bookmarkStart w:id="48" w:name="网格划分信息"/>
      <w:bookmarkEnd w:id="48"/>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49" w:name="网格图"/>
      <w:bookmarkEnd w:id="49"/>
    </w:p>
    <w:p>
      <w:pPr>
        <w:pStyle w:val="4"/>
        <w:numPr>
          <w:ilvl w:val="1"/>
          <w:numId w:val="3"/>
        </w:numPr>
      </w:pPr>
      <w:bookmarkStart w:id="50" w:name="_Toc509844742"/>
      <w:bookmarkStart w:id="51" w:name="_Toc1455"/>
      <w:r>
        <w:rPr>
          <w:rFonts w:hint="eastAsia"/>
        </w:rPr>
        <w:t>边界条件</w:t>
      </w:r>
      <w:bookmarkEnd w:id="50"/>
      <w:bookmarkEnd w:id="5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2" w:name="_Toc509844743"/>
      <w:bookmarkStart w:id="53" w:name="_Toc11561"/>
      <w:r>
        <w:rPr>
          <w:rFonts w:hint="eastAsia"/>
        </w:rPr>
        <w:t>入口与出口边界条件</w:t>
      </w:r>
      <w:bookmarkEnd w:id="52"/>
      <w:bookmarkEnd w:id="5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4" w:name="地面粗糙度指数2"/>
      <w:r>
        <w:rPr>
          <w:rFonts w:hint="eastAsia"/>
          <w:lang w:val="en-US"/>
        </w:rPr>
        <w:t>0.22</w:t>
      </w:r>
      <w:bookmarkEnd w:id="5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5" w:name="_Toc509844744"/>
      <w:bookmarkStart w:id="56" w:name="_Toc28168"/>
      <w:r>
        <w:rPr>
          <w:rFonts w:hint="eastAsia"/>
        </w:rPr>
        <w:t>壁面边界条件</w:t>
      </w:r>
      <w:bookmarkEnd w:id="55"/>
      <w:bookmarkEnd w:id="5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57" w:name="_Toc11058"/>
      <w:r>
        <w:rPr>
          <w:rFonts w:hint="eastAsia"/>
        </w:rPr>
        <w:t>湍流模型</w:t>
      </w:r>
      <w:bookmarkEnd w:id="38"/>
      <w:bookmarkEnd w:id="39"/>
      <w:bookmarkEnd w:id="5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58" w:name="_Toc451698939"/>
      <w:bookmarkStart w:id="59" w:name="_Toc452108767"/>
      <w:bookmarkStart w:id="60" w:name="_Toc17231"/>
      <w:r>
        <w:rPr>
          <w:rFonts w:hint="eastAsia"/>
        </w:rPr>
        <w:t>求解计算</w:t>
      </w:r>
      <w:bookmarkEnd w:id="58"/>
      <w:bookmarkEnd w:id="59"/>
      <w:bookmarkEnd w:id="60"/>
    </w:p>
    <w:p>
      <w:pPr>
        <w:pStyle w:val="3"/>
        <w:numPr>
          <w:ilvl w:val="0"/>
          <w:numId w:val="5"/>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5"/>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63" w:name="_Toc509844747"/>
      <w:bookmarkStart w:id="64" w:name="_Toc24408"/>
      <w:r>
        <w:rPr>
          <w:rFonts w:hint="eastAsia"/>
        </w:rPr>
        <w:t>风速放大系数计算</w:t>
      </w:r>
      <w:bookmarkEnd w:id="63"/>
      <w:bookmarkEnd w:id="6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5" w:name="地面粗糙度指数"/>
      <w:r>
        <w:rPr>
          <w:rFonts w:hint="eastAsia"/>
          <w:lang w:val="en-US"/>
        </w:rPr>
        <w:t>0.22</w:t>
      </w:r>
      <w:bookmarkEnd w:id="6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66" w:name="_Toc452108768"/>
      <w:bookmarkStart w:id="67" w:name="_Toc30112"/>
      <w:r>
        <w:rPr>
          <w:rFonts w:hint="eastAsia"/>
        </w:rPr>
        <w:t>结果</w:t>
      </w:r>
      <w:r>
        <w:t>分析</w:t>
      </w:r>
      <w:bookmarkEnd w:id="66"/>
      <w:bookmarkEnd w:id="67"/>
    </w:p>
    <w:p>
      <w:pPr>
        <w:pStyle w:val="4"/>
        <w:rPr>
          <w:szCs w:val="21"/>
        </w:rPr>
      </w:pPr>
      <w:bookmarkStart w:id="68" w:name="_Toc6716"/>
      <w:r>
        <w:rPr>
          <w:rFonts w:hint="eastAsia"/>
          <w:szCs w:val="21"/>
        </w:rPr>
        <w:t>工况</w:t>
      </w:r>
      <w:r>
        <w:rPr>
          <w:szCs w:val="21"/>
        </w:rPr>
        <w:t>表</w:t>
      </w:r>
      <w:bookmarkEnd w:id="68"/>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9"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3.60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225.0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225.0</w:t>
            </w:r>
          </w:p>
        </w:tc>
      </w:tr>
      <w:bookmarkEnd w:id="6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70" w:name="_Toc14125"/>
      <w:r>
        <w:rPr>
          <w:rFonts w:hint="eastAsia"/>
        </w:rPr>
        <w:t>冬季工况</w:t>
      </w:r>
      <w:bookmarkEnd w:id="70"/>
    </w:p>
    <w:p>
      <w:pPr>
        <w:ind w:firstLine="420" w:firstLineChars="200"/>
        <w:jc w:val="both"/>
      </w:pPr>
      <w:r>
        <w:rPr>
          <w:rFonts w:hint="eastAsia"/>
          <w:lang w:val="en-US"/>
        </w:rPr>
        <w:t>本项目冬季工况的入口边界风速为</w:t>
      </w:r>
      <w:r>
        <w:rPr>
          <w:rFonts w:hint="eastAsia" w:ascii="Calibri" w:hAnsi="Calibri"/>
          <w:szCs w:val="21"/>
        </w:rPr>
        <w:t>3.60</w:t>
      </w:r>
      <w:r>
        <w:rPr>
          <w:rFonts w:ascii="Calibri" w:hAnsi="Calibri"/>
          <w:szCs w:val="21"/>
        </w:rPr>
        <w:t>m/s</w:t>
      </w:r>
      <w:r>
        <w:rPr>
          <w:rFonts w:hint="eastAsia" w:ascii="Calibri" w:hAnsi="Calibri"/>
          <w:szCs w:val="21"/>
        </w:rPr>
        <w:t>，风向为</w:t>
      </w:r>
      <w:r>
        <w:rPr>
          <w:szCs w:val="21"/>
        </w:rPr>
        <w:t>NNE</w:t>
      </w:r>
      <w:r>
        <w:rPr>
          <w:rFonts w:hint="eastAsia"/>
          <w:szCs w:val="21"/>
        </w:rPr>
        <w:t>。</w:t>
      </w:r>
    </w:p>
    <w:p>
      <w:pPr>
        <w:pStyle w:val="5"/>
      </w:pPr>
      <w:bookmarkStart w:id="71" w:name="_Toc2429"/>
      <w:r>
        <w:rPr>
          <w:rFonts w:hint="eastAsia"/>
        </w:rPr>
        <w:t>风速达标分析</w:t>
      </w:r>
      <w:bookmarkEnd w:id="71"/>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r>
        <w:rPr>
          <w:lang w:val="en-US"/>
        </w:rPr>
        <w:t>未标示出超标区域，可知人行区域风速为最大值为2.28m/s，小于5m/s，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r>
        <w:drawing>
          <wp:inline distT="0" distB="0" distL="0" distR="0">
            <wp:extent cx="5667375" cy="3390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0"/>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72" w:name="_Toc31438"/>
      <w:r>
        <w:rPr>
          <w:rFonts w:hint="eastAsia"/>
        </w:rPr>
        <w:t>风速放大系数达标分析</w:t>
      </w:r>
      <w:bookmarkEnd w:id="72"/>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r>
        <w:rPr>
          <w:lang w:val="en-US"/>
        </w:rPr>
        <w:t>图中未标示出风速放大系数超标区域，因此可知人行区域风速放大系数最大值为0.96，小于2，</w:t>
      </w:r>
      <w:r>
        <w:rPr>
          <w:color w:val="0000FF"/>
          <w:lang w:val="en-US"/>
        </w:rPr>
        <w:t>满足</w:t>
      </w:r>
      <w:r>
        <w:rPr>
          <w:lang w:val="en-US"/>
        </w:rPr>
        <w:t>绿标要求。</w:t>
      </w:r>
    </w:p>
    <w:p>
      <w:pPr>
        <w:jc w:val="center"/>
      </w:pPr>
      <w:r>
        <w:drawing>
          <wp:inline distT="0" distB="0" distL="0" distR="0">
            <wp:extent cx="5667375" cy="33909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1"/>
                    <a:stretch>
                      <a:fillRect/>
                    </a:stretch>
                  </pic:blipFill>
                  <pic:spPr>
                    <a:xfrm>
                      <a:off x="0" y="0"/>
                      <a:ext cx="5667375" cy="33909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p>
    <w:p>
      <w:pPr>
        <w:pStyle w:val="3"/>
        <w:ind w:firstLine="420"/>
        <w:rPr>
          <w:lang w:val="en-US"/>
        </w:rPr>
      </w:pPr>
    </w:p>
    <w:p>
      <w:pPr>
        <w:pStyle w:val="5"/>
      </w:pPr>
      <w:bookmarkStart w:id="73" w:name="_Toc777"/>
      <w:r>
        <w:rPr>
          <w:rFonts w:hint="eastAsia"/>
        </w:rPr>
        <w:t>冬季工况风速/风速放大系数达标结果汇总</w:t>
      </w:r>
      <w:bookmarkEnd w:id="73"/>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p>
        </w:tc>
      </w:tr>
    </w:tbl>
    <w:p/>
    <w:p>
      <w:pPr>
        <w:pStyle w:val="5"/>
      </w:pPr>
      <w:bookmarkStart w:id="74" w:name="_Toc22269"/>
      <w:r>
        <w:rPr>
          <w:rFonts w:hint="eastAsia"/>
        </w:rPr>
        <w:t>建筑迎风面和背风面风压分析</w:t>
      </w:r>
      <w:bookmarkEnd w:id="74"/>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r>
        <w:drawing>
          <wp:inline distT="0" distB="0" distL="0" distR="0">
            <wp:extent cx="5667375" cy="33528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3"/>
                    <a:stretch>
                      <a:fillRect/>
                    </a:stretch>
                  </pic:blipFill>
                  <pic:spPr>
                    <a:xfrm>
                      <a:off x="0" y="0"/>
                      <a:ext cx="5667375" cy="3352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r>
        <w:drawing>
          <wp:inline distT="0" distB="0" distL="0" distR="0">
            <wp:extent cx="5667375" cy="33623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4"/>
                    <a:stretch>
                      <a:fillRect/>
                    </a:stretch>
                  </pic:blipFill>
                  <pic:spPr>
                    <a:xfrm>
                      <a:off x="0" y="0"/>
                      <a:ext cx="5667375" cy="33623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-单体</w:t>
      </w:r>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0.69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0.71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0.70</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-1.85</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2.55</w:t>
            </w:r>
          </w:p>
        </w:tc>
      </w:tr>
    </w:tbl>
    <w:p>
      <w:r>
        <w:t>标准要求：迎背风面窗平均风压差（绝对值）≤5Pa。结论：该楼</w:t>
      </w:r>
      <w:r>
        <w:rPr>
          <w:b/>
          <w:color w:val="0000FF"/>
        </w:rPr>
        <w:t>达标</w:t>
      </w:r>
      <w:r>
        <w:t>。</w:t>
      </w:r>
    </w:p>
    <w:p>
      <w:pPr>
        <w:jc w:val="center"/>
        <w:rPr>
          <w:rFonts w:ascii="Cambria" w:hAnsi="Cambria" w:eastAsia="黑体"/>
          <w:sz w:val="20"/>
        </w:rPr>
      </w:pPr>
    </w:p>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单体</w:t>
            </w:r>
          </w:p>
        </w:tc>
        <w:tc>
          <w:tcPr>
            <w:tcW w:w="1276" w:type="dxa"/>
            <w:shd w:val="clear" w:color="auto" w:fill="auto"/>
            <w:vAlign w:val="center"/>
          </w:tcPr>
          <w:p>
            <w:pPr>
              <w:jc w:val="center"/>
              <w:rPr>
                <w:lang w:val="en-US"/>
              </w:rPr>
            </w:pPr>
            <w:r>
              <w:rPr>
                <w:lang w:val="en-US"/>
              </w:rPr>
              <w:t>0.70</w:t>
            </w:r>
          </w:p>
        </w:tc>
        <w:tc>
          <w:tcPr>
            <w:tcW w:w="1276" w:type="dxa"/>
            <w:shd w:val="clear" w:color="auto" w:fill="auto"/>
            <w:vAlign w:val="center"/>
          </w:tcPr>
          <w:p>
            <w:pPr>
              <w:jc w:val="center"/>
              <w:rPr>
                <w:lang w:val="en-US"/>
              </w:rPr>
            </w:pPr>
            <w:r>
              <w:rPr>
                <w:lang w:val="en-US"/>
              </w:rPr>
              <w:t>-1.85</w:t>
            </w:r>
          </w:p>
        </w:tc>
        <w:tc>
          <w:tcPr>
            <w:tcW w:w="1701" w:type="dxa"/>
            <w:shd w:val="clear" w:color="auto" w:fill="auto"/>
            <w:vAlign w:val="center"/>
          </w:tcPr>
          <w:p>
            <w:pPr>
              <w:jc w:val="center"/>
              <w:rPr>
                <w:lang w:val="en-US"/>
              </w:rPr>
            </w:pPr>
            <w:r>
              <w:rPr>
                <w:lang w:val="en-US"/>
              </w:rPr>
              <w:t>2.55</w:t>
            </w:r>
          </w:p>
        </w:tc>
        <w:tc>
          <w:tcPr>
            <w:tcW w:w="973" w:type="dxa"/>
            <w:shd w:val="clear" w:color="auto" w:fill="auto"/>
            <w:vAlign w:val="center"/>
          </w:tcPr>
          <w:p>
            <w:pPr>
              <w:jc w:val="center"/>
              <w:rPr>
                <w:lang w:val="en-US"/>
              </w:rPr>
            </w:pPr>
            <w:r>
              <w:rPr>
                <w:lang w:val="en-US"/>
              </w:rPr>
              <w:t>是</w:t>
            </w:r>
          </w:p>
        </w:tc>
      </w:tr>
    </w:tbl>
    <w:p>
      <w:pPr>
        <w:rPr>
          <w:lang w:val="en-US"/>
        </w:rPr>
      </w:pPr>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r>
        <w:rPr>
          <w:b/>
          <w:color w:val="000000"/>
          <w:lang w:val="en-US"/>
        </w:rPr>
        <w:t>说明：所有单体建筑各层迎风和背风面风压差信息详见附录。</w:t>
      </w:r>
    </w:p>
    <w:p>
      <w:pPr>
        <w:rPr>
          <w:lang w:val="en-US"/>
        </w:rPr>
      </w:pPr>
      <w:bookmarkStart w:id="75" w:name="冬季工况"/>
      <w:bookmarkEnd w:id="75"/>
      <w:r>
        <w:rPr>
          <w:rFonts w:hint="eastAsia"/>
          <w:lang w:val="en-US"/>
        </w:rPr>
        <w:t xml:space="preserve"> </w:t>
      </w:r>
    </w:p>
    <w:p>
      <w:pPr>
        <w:pStyle w:val="4"/>
      </w:pPr>
      <w:bookmarkStart w:id="76" w:name="_Toc20900"/>
      <w:r>
        <w:rPr>
          <w:rFonts w:hint="eastAsia"/>
        </w:rPr>
        <w:t>夏季工况</w:t>
      </w:r>
      <w:bookmarkEnd w:id="76"/>
    </w:p>
    <w:p>
      <w:pPr>
        <w:pStyle w:val="3"/>
        <w:ind w:firstLine="420"/>
      </w:pPr>
      <w:r>
        <w:rPr>
          <w:rFonts w:hint="eastAsia"/>
          <w:lang w:val="en-US"/>
        </w:rPr>
        <w:t>本项目夏季工况的入口边界风速为3.50m/s，风向为</w:t>
      </w:r>
      <w:r>
        <w:t>SW</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77" w:name="_Toc2263"/>
      <w:r>
        <w:rPr>
          <w:rFonts w:hint="eastAsia"/>
        </w:rPr>
        <w:t>无风区计算分析</w:t>
      </w:r>
      <w:bookmarkEnd w:id="77"/>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drawing>
          <wp:inline distT="0" distB="0" distL="0" distR="0">
            <wp:extent cx="5667375" cy="33909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5"/>
                    <a:stretch>
                      <a:fillRect/>
                    </a:stretch>
                  </pic:blipFill>
                  <pic:spPr>
                    <a:xfrm>
                      <a:off x="0" y="0"/>
                      <a:ext cx="5667375" cy="33909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78" w:name="_Toc3513"/>
      <w:r>
        <w:rPr>
          <w:rFonts w:hint="eastAsia"/>
        </w:rPr>
        <w:t>旋涡区分析</w:t>
      </w:r>
      <w:bookmarkEnd w:id="78"/>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r>
        <w:drawing>
          <wp:inline distT="0" distB="0" distL="0" distR="0">
            <wp:extent cx="5667375" cy="33909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6"/>
                    <a:stretch>
                      <a:fillRect/>
                    </a:stretch>
                  </pic:blipFill>
                  <pic:spPr>
                    <a:xfrm>
                      <a:off x="0" y="0"/>
                      <a:ext cx="5667375" cy="33909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79" w:name="_Toc24533"/>
      <w:r>
        <w:rPr>
          <w:rFonts w:hint="eastAsia"/>
        </w:rPr>
        <w:t>旋涡区/无风区达标结果汇总</w:t>
      </w:r>
      <w:bookmarkEnd w:id="7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80" w:name="_Toc26285"/>
      <w:r>
        <w:rPr>
          <w:rFonts w:hint="eastAsia"/>
        </w:rPr>
        <w:t>外窗内外表面风压差达标分析</w:t>
      </w:r>
      <w:bookmarkEnd w:id="80"/>
    </w:p>
    <w:p>
      <w:pPr>
        <w:pStyle w:val="3"/>
        <w:ind w:firstLine="420"/>
      </w:pPr>
      <w:r>
        <w:rPr>
          <w:rFonts w:hint="eastAsia"/>
          <w:lang w:val="en-US"/>
        </w:rPr>
        <w:t>分析《绿色建筑评价标准》，夏季为充分利用自然通风获得良好的室内风环境，要求50%以上可开启外窗室内外表面的风压差大于0.5Pa。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r>
        <w:drawing>
          <wp:inline distT="0" distB="0" distL="0" distR="0">
            <wp:extent cx="5667375" cy="33528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7"/>
                    <a:stretch>
                      <a:fillRect/>
                    </a:stretch>
                  </pic:blipFill>
                  <pic:spPr>
                    <a:xfrm>
                      <a:off x="0" y="0"/>
                      <a:ext cx="5667375" cy="3352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p>
    <w:p>
      <w:pPr>
        <w:jc w:val="center"/>
      </w:pPr>
      <w:r>
        <w:drawing>
          <wp:inline distT="0" distB="0" distL="0" distR="0">
            <wp:extent cx="5667375" cy="33623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78"/>
                    <a:stretch>
                      <a:fillRect/>
                    </a:stretch>
                  </pic:blipFill>
                  <pic:spPr>
                    <a:xfrm>
                      <a:off x="0" y="0"/>
                      <a:ext cx="5667375" cy="336232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r>
        <w:rPr>
          <w:rFonts w:hint="eastAsia"/>
        </w:rPr>
        <w:t xml:space="preserve"> </w:t>
      </w:r>
    </w:p>
    <w:p>
      <w:r>
        <w:rPr>
          <w:rFonts w:hint="eastAsia"/>
        </w:rPr>
        <w:t>下表为依据上图提取的外窗外表面平均风压数据，相当于外窗室内外表面风压差数据，并依据标准做出达标判断：</w:t>
      </w:r>
    </w:p>
    <w:p>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单体</w:t>
            </w:r>
          </w:p>
        </w:tc>
        <w:tc>
          <w:tcPr>
            <w:tcW w:w="1134" w:type="dxa"/>
            <w:shd w:val="clear" w:color="auto" w:fill="auto"/>
            <w:vAlign w:val="center"/>
          </w:tcPr>
          <w:p>
            <w:pPr>
              <w:jc w:val="center"/>
              <w:rPr>
                <w:lang w:val="en-US"/>
              </w:rPr>
            </w:pPr>
            <w:r>
              <w:rPr>
                <w:lang w:val="en-US"/>
              </w:rPr>
              <w:t>128</w:t>
            </w:r>
          </w:p>
        </w:tc>
        <w:tc>
          <w:tcPr>
            <w:tcW w:w="1984" w:type="dxa"/>
            <w:shd w:val="clear" w:color="auto" w:fill="auto"/>
            <w:vAlign w:val="center"/>
          </w:tcPr>
          <w:p>
            <w:pPr>
              <w:jc w:val="center"/>
              <w:rPr>
                <w:lang w:val="en-US"/>
              </w:rPr>
            </w:pPr>
            <w:r>
              <w:rPr>
                <w:lang w:val="en-US"/>
              </w:rPr>
              <w:t>99</w:t>
            </w:r>
          </w:p>
        </w:tc>
        <w:tc>
          <w:tcPr>
            <w:tcW w:w="1116" w:type="dxa"/>
            <w:shd w:val="clear" w:color="auto" w:fill="auto"/>
            <w:vAlign w:val="center"/>
          </w:tcPr>
          <w:p>
            <w:pPr>
              <w:jc w:val="center"/>
              <w:rPr>
                <w:lang w:val="en-US"/>
              </w:rPr>
            </w:pPr>
            <w:r>
              <w:rPr>
                <w:lang w:val="en-US"/>
              </w:rPr>
              <w:t>77.34</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p>
    <w:p/>
    <w:p>
      <w:pPr>
        <w:rPr>
          <w:lang w:val="en-US"/>
        </w:rPr>
      </w:pPr>
      <w:r>
        <w:rPr>
          <w:rFonts w:hint="eastAsia"/>
          <w:lang w:val="en-US"/>
        </w:rPr>
        <w:t xml:space="preserve">结论：本项目中所有建筑均满足“50%以上可开启外窗室内外表面的风压差大于0.5Pa”的要求。 </w:t>
      </w:r>
    </w:p>
    <w:p>
      <w:pPr>
        <w:pStyle w:val="4"/>
      </w:pPr>
      <w:bookmarkStart w:id="81" w:name="_Toc15438"/>
      <w:r>
        <w:rPr>
          <w:rFonts w:hint="eastAsia"/>
        </w:rPr>
        <w:t>过渡季工况</w:t>
      </w:r>
      <w:bookmarkEnd w:id="81"/>
    </w:p>
    <w:p>
      <w:pPr>
        <w:pStyle w:val="3"/>
        <w:ind w:firstLine="420"/>
      </w:pPr>
      <w:r>
        <w:rPr>
          <w:rFonts w:hint="eastAsia"/>
          <w:lang w:val="en-US"/>
        </w:rPr>
        <w:t>本项目过渡季工况的入口边界风速为3.50m/s，风向为</w:t>
      </w:r>
      <w:r>
        <w:t>SW</w:t>
      </w:r>
      <w:r>
        <w:rPr>
          <w:rFonts w:hint="eastAsia"/>
          <w:lang w:val="en-US"/>
        </w:rPr>
        <w:t>。</w:t>
      </w:r>
    </w:p>
    <w:p>
      <w:pPr>
        <w:pStyle w:val="3"/>
        <w:ind w:firstLine="420"/>
      </w:pPr>
      <w:r>
        <w:rPr>
          <w:rFonts w:hint="eastAsia"/>
          <w:lang w:val="en-US"/>
        </w:rPr>
        <w:t>根据前述《绿色建筑评价标准》 对于夏季工况的要求，过渡季典型风速和风向条件下，场地内人活动区不出现涡旋或无风区。通过该项标准指导设计确保合理的建筑布局，在过渡季形成有效的巷道风，优化街区自然通风环境，避免过渡季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82" w:name="_Toc6108"/>
      <w:r>
        <w:rPr>
          <w:rFonts w:hint="eastAsia"/>
        </w:rPr>
        <w:t>无风区计算分析</w:t>
      </w:r>
      <w:bookmarkEnd w:id="82"/>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drawing>
          <wp:inline distT="0" distB="0" distL="0" distR="0">
            <wp:extent cx="5667375" cy="33909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75"/>
                    <a:stretch>
                      <a:fillRect/>
                    </a:stretch>
                  </pic:blipFill>
                  <pic:spPr>
                    <a:xfrm>
                      <a:off x="0" y="0"/>
                      <a:ext cx="5667375" cy="33909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83" w:name="_Toc24333"/>
      <w:r>
        <w:rPr>
          <w:rFonts w:hint="eastAsia"/>
        </w:rPr>
        <w:t>旋涡区分析</w:t>
      </w:r>
      <w:bookmarkEnd w:id="83"/>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r>
        <w:drawing>
          <wp:inline distT="0" distB="0" distL="0" distR="0">
            <wp:extent cx="5667375" cy="33909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6"/>
                    <a:stretch>
                      <a:fillRect/>
                    </a:stretch>
                  </pic:blipFill>
                  <pic:spPr>
                    <a:xfrm>
                      <a:off x="0" y="0"/>
                      <a:ext cx="5667375" cy="33909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84" w:name="_Toc28252"/>
      <w:r>
        <w:rPr>
          <w:rFonts w:hint="eastAsia"/>
        </w:rPr>
        <w:t>旋涡区/无风区达标结果汇总</w:t>
      </w:r>
      <w:bookmarkEnd w:id="84"/>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过渡季</w:t>
      </w:r>
      <w:bookmarkEnd w:id="16"/>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bookmarkEnd w:id="19"/>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bookmarkEnd w:id="20"/>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bookmarkEnd w:id="22"/>
          </w:p>
        </w:tc>
      </w:tr>
    </w:tbl>
    <w:p>
      <w:pPr>
        <w:pStyle w:val="5"/>
      </w:pPr>
      <w:bookmarkStart w:id="85" w:name="_Toc31352"/>
      <w:r>
        <w:rPr>
          <w:rFonts w:hint="eastAsia"/>
        </w:rPr>
        <w:t>外窗内外表面风压</w:t>
      </w:r>
      <w:bookmarkEnd w:id="23"/>
      <w:r>
        <w:rPr>
          <w:rFonts w:hint="eastAsia"/>
        </w:rPr>
        <w:t>差达标分析</w:t>
      </w:r>
      <w:bookmarkEnd w:id="24"/>
      <w:bookmarkEnd w:id="85"/>
    </w:p>
    <w:p>
      <w:pPr>
        <w:pStyle w:val="3"/>
        <w:ind w:firstLine="420"/>
      </w:pPr>
      <w:r>
        <w:rPr>
          <w:rFonts w:hint="eastAsia"/>
          <w:lang w:val="en-US"/>
        </w:rPr>
        <w:t>分析《绿色建筑评价标准》，过渡季</w:t>
      </w:r>
      <w:bookmarkEnd w:id="26"/>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bookmarkEnd w:id="27"/>
    <w:p>
      <w:pPr>
        <w:pStyle w:val="3"/>
        <w:ind w:firstLine="0" w:firstLineChars="0"/>
        <w:jc w:val="center"/>
      </w:pPr>
      <w:r>
        <w:drawing>
          <wp:inline distT="0" distB="0" distL="0" distR="0">
            <wp:extent cx="5667375" cy="33528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7"/>
                    <a:stretch>
                      <a:fillRect/>
                    </a:stretch>
                  </pic:blipFill>
                  <pic:spPr>
                    <a:xfrm>
                      <a:off x="0" y="0"/>
                      <a:ext cx="5667375" cy="3352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建筑迎风面外窗表面风压云图-过渡季</w:t>
      </w:r>
      <w:bookmarkEnd w:id="28"/>
    </w:p>
    <w:bookmarkEnd w:id="29"/>
    <w:p>
      <w:pPr>
        <w:jc w:val="center"/>
      </w:pPr>
      <w:r>
        <w:drawing>
          <wp:inline distT="0" distB="0" distL="0" distR="0">
            <wp:extent cx="5667375" cy="33623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8"/>
                    <a:stretch>
                      <a:fillRect/>
                    </a:stretch>
                  </pic:blipFill>
                  <pic:spPr>
                    <a:xfrm>
                      <a:off x="0" y="0"/>
                      <a:ext cx="5667375" cy="336232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建筑背风面外窗表面风压云图-过渡季</w:t>
      </w:r>
      <w:bookmarkEnd w:id="30"/>
      <w:r>
        <w:rPr>
          <w:rFonts w:hint="eastAsia"/>
        </w:rPr>
        <w:t xml:space="preserve"> </w:t>
      </w:r>
    </w:p>
    <w:p>
      <w:r>
        <w:rPr>
          <w:rFonts w:hint="eastAsia"/>
        </w:rPr>
        <w:t>下表为依据上图提取的外窗外表面平均风压数据，相当于外窗室内外表面风压差数据，并依据标准做出达标判断：</w:t>
      </w:r>
    </w:p>
    <w:p>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单体</w:t>
            </w:r>
          </w:p>
        </w:tc>
        <w:tc>
          <w:tcPr>
            <w:tcW w:w="1134" w:type="dxa"/>
            <w:shd w:val="clear" w:color="auto" w:fill="auto"/>
            <w:vAlign w:val="center"/>
          </w:tcPr>
          <w:p>
            <w:pPr>
              <w:jc w:val="center"/>
              <w:rPr>
                <w:lang w:val="en-US"/>
              </w:rPr>
            </w:pPr>
            <w:r>
              <w:rPr>
                <w:lang w:val="en-US"/>
              </w:rPr>
              <w:t>128</w:t>
            </w:r>
          </w:p>
        </w:tc>
        <w:tc>
          <w:tcPr>
            <w:tcW w:w="1984" w:type="dxa"/>
            <w:shd w:val="clear" w:color="auto" w:fill="auto"/>
            <w:vAlign w:val="center"/>
          </w:tcPr>
          <w:p>
            <w:pPr>
              <w:jc w:val="center"/>
              <w:rPr>
                <w:lang w:val="en-US"/>
              </w:rPr>
            </w:pPr>
            <w:r>
              <w:rPr>
                <w:lang w:val="en-US"/>
              </w:rPr>
              <w:t>99</w:t>
            </w:r>
          </w:p>
        </w:tc>
        <w:tc>
          <w:tcPr>
            <w:tcW w:w="1116" w:type="dxa"/>
            <w:shd w:val="clear" w:color="auto" w:fill="auto"/>
            <w:vAlign w:val="center"/>
          </w:tcPr>
          <w:p>
            <w:pPr>
              <w:jc w:val="center"/>
              <w:rPr>
                <w:lang w:val="en-US"/>
              </w:rPr>
            </w:pPr>
            <w:r>
              <w:rPr>
                <w:lang w:val="en-US"/>
              </w:rPr>
              <w:t>77.34</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bookmarkEnd w:id="31"/>
    <w:p>
      <w:pPr>
        <w:rPr>
          <w:lang w:val="en-US"/>
        </w:rPr>
      </w:pPr>
    </w:p>
    <w:p/>
    <w:p>
      <w:pPr>
        <w:rPr>
          <w:lang w:val="en-US"/>
        </w:rPr>
      </w:pPr>
      <w:r>
        <w:rPr>
          <w:rFonts w:hint="eastAsia"/>
          <w:lang w:val="en-US"/>
        </w:rPr>
        <w:t>结论：本项目中所有建筑均满足“50%以上可开启外窗室内外表面的风压差大于0.5Pa”的要求。</w:t>
      </w:r>
      <w:bookmarkEnd w:id="33"/>
      <w:r>
        <w:rPr>
          <w:rFonts w:hint="eastAsia"/>
          <w:lang w:val="en-US"/>
        </w:rPr>
        <w:t xml:space="preserve"> </w:t>
      </w:r>
    </w:p>
    <w:p>
      <w:pPr>
        <w:rPr>
          <w:lang w:val="en-US"/>
        </w:rPr>
      </w:pPr>
      <w:bookmarkStart w:id="86" w:name="其他工况"/>
      <w:bookmarkEnd w:id="86"/>
      <w:r>
        <w:rPr>
          <w:rFonts w:hint="eastAsia"/>
          <w:lang w:val="en-US"/>
        </w:rPr>
        <w:t xml:space="preserve"> </w:t>
      </w:r>
    </w:p>
    <w:p>
      <w:pPr>
        <w:pStyle w:val="4"/>
      </w:pPr>
      <w:bookmarkStart w:id="87" w:name="_Toc509844764"/>
      <w:bookmarkStart w:id="88" w:name="_Toc11771"/>
      <w:r>
        <w:rPr>
          <w:rFonts w:hint="eastAsia"/>
        </w:rPr>
        <w:t>结论</w:t>
      </w:r>
      <w:bookmarkEnd w:id="87"/>
      <w:bookmarkEnd w:id="88"/>
    </w:p>
    <w:p>
      <w:pPr>
        <w:pStyle w:val="5"/>
      </w:pPr>
      <w:bookmarkStart w:id="89" w:name="_Toc14880"/>
      <w:r>
        <w:rPr>
          <w:rFonts w:hint="eastAsia"/>
        </w:rPr>
        <w:t>冬季工况达标判断</w:t>
      </w:r>
      <w:bookmarkEnd w:id="8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r>
              <w:t>没有出现</w:t>
            </w:r>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r>
              <w:t>没有出现</w:t>
            </w:r>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r>
              <w:t>没有出现</w:t>
            </w:r>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p>
        </w:tc>
        <w:tc>
          <w:tcPr>
            <w:tcW w:w="1416" w:type="dxa"/>
            <w:shd w:val="clear" w:color="auto" w:fill="auto"/>
            <w:vAlign w:val="center"/>
          </w:tcPr>
          <w:p>
            <w:pPr>
              <w:jc w:val="center"/>
              <w:rPr>
                <w:lang w:val="en-US"/>
              </w:rPr>
            </w:pPr>
            <w:r>
              <w:rPr>
                <w:rFonts w:hint="eastAsia"/>
                <w:lang w:val="en-US"/>
              </w:rPr>
              <w:t>2分</w:t>
            </w:r>
          </w:p>
        </w:tc>
      </w:tr>
      <w:bookmarkEnd w:id="13"/>
      <w:bookmarkEnd w:id="14"/>
    </w:tbl>
    <w:p>
      <w:pPr>
        <w:rPr>
          <w:szCs w:val="21"/>
          <w:lang w:val="en-US"/>
        </w:rPr>
      </w:pPr>
    </w:p>
    <w:p>
      <w:pPr>
        <w:pStyle w:val="5"/>
      </w:pPr>
      <w:bookmarkStart w:id="90" w:name="_Toc22294"/>
      <w:r>
        <w:rPr>
          <w:rFonts w:hint="eastAsia"/>
        </w:rPr>
        <w:t>过渡季、夏季工况达标判断</w:t>
      </w:r>
      <w:bookmarkEnd w:id="9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，得3分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计算域无</w:t>
            </w:r>
            <w:bookmarkEnd w:id="4"/>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r>
              <w:rPr>
                <w:rFonts w:hint="eastAsia"/>
                <w:b/>
                <w:lang w:val="en-US"/>
              </w:rPr>
              <w:t>达标</w:t>
            </w:r>
            <w:bookmarkEnd w:id="5"/>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6"/>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End w:id="7"/>
            <w:r>
              <w:rPr>
                <w:rFonts w:hint="eastAsia"/>
                <w:lang w:val="en-US"/>
              </w:rPr>
              <w:t>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，得2</w:t>
            </w:r>
            <w:bookmarkEnd w:id="8"/>
            <w:r>
              <w:rPr>
                <w:rFonts w:hint="eastAsia"/>
                <w:lang w:val="en-US"/>
              </w:rPr>
              <w:t>分。</w:t>
            </w:r>
          </w:p>
        </w:tc>
        <w:tc>
          <w:tcPr>
            <w:tcW w:w="1985" w:type="dxa"/>
            <w:shd w:val="clear" w:color="auto" w:fill="auto"/>
            <w:vAlign w:val="center"/>
          </w:tcPr>
          <w:p>
            <w:pPr>
              <w:jc w:val="center"/>
              <w:rPr>
                <w:lang w:val="en-US"/>
              </w:rPr>
            </w:pPr>
            <w:r>
              <w:rPr>
                <w:rFonts w:hint="eastAsia"/>
                <w:b/>
                <w:lang w:val="en-US"/>
              </w:rPr>
              <w:t>可开启外窗室内外表面的风压差</w:t>
            </w:r>
            <w:r>
              <w:rPr>
                <w:rFonts w:hint="eastAsia"/>
                <w:lang w:val="en-US"/>
              </w:rPr>
              <w:t>满足</w:t>
            </w:r>
            <w:bookmarkEnd w:id="9"/>
            <w:r>
              <w:rPr>
                <w:rFonts w:hint="eastAsia"/>
                <w:lang w:val="en-US"/>
              </w:rPr>
              <w:t>标准要求</w:t>
            </w:r>
          </w:p>
        </w:tc>
        <w:tc>
          <w:tcPr>
            <w:tcW w:w="1985" w:type="dxa"/>
            <w:shd w:val="clear" w:color="auto" w:fill="auto"/>
            <w:vAlign w:val="center"/>
          </w:tcPr>
          <w:p>
            <w:pPr>
              <w:jc w:val="center"/>
              <w:rPr>
                <w:b/>
                <w:lang w:val="en-US"/>
              </w:rPr>
            </w:pPr>
            <w:r>
              <w:rPr>
                <w:rFonts w:hint="eastAsia"/>
                <w:b/>
                <w:lang w:val="en-US"/>
              </w:rPr>
              <w:t>达标</w:t>
            </w:r>
            <w:bookmarkEnd w:id="10"/>
          </w:p>
        </w:tc>
        <w:tc>
          <w:tcPr>
            <w:tcW w:w="1416" w:type="dxa"/>
            <w:shd w:val="clear" w:color="auto" w:fill="auto"/>
            <w:vAlign w:val="center"/>
          </w:tcPr>
          <w:p>
            <w:pPr>
              <w:jc w:val="center"/>
              <w:rPr>
                <w:lang w:val="en-US"/>
              </w:rPr>
            </w:pPr>
            <w:r>
              <w:rPr>
                <w:rFonts w:hint="eastAsia"/>
                <w:lang w:val="en-US"/>
              </w:rPr>
              <w:t>2</w:t>
            </w:r>
            <w:bookmarkEnd w:id="11"/>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91" w:name="总得分"/>
      <w:r>
        <w:rPr>
          <w:rFonts w:hint="eastAsia"/>
          <w:lang w:val="en-US"/>
        </w:rPr>
        <w:t>10</w:t>
      </w:r>
      <w:bookmarkEnd w:id="91"/>
      <w:r>
        <w:rPr>
          <w:rFonts w:hint="eastAsia"/>
          <w:lang w:val="en-US"/>
        </w:rPr>
        <w:t>分。</w:t>
      </w:r>
    </w:p>
    <w:p>
      <w:pPr>
        <w:pStyle w:val="4"/>
      </w:pPr>
      <w:bookmarkStart w:id="92" w:name="_Toc23480"/>
      <w:bookmarkStart w:id="93" w:name="附录"/>
      <w:r>
        <w:rPr>
          <w:rFonts w:hint="eastAsia"/>
        </w:rPr>
        <w:t>附录</w:t>
      </w:r>
      <w:bookmarkEnd w:id="92"/>
    </w:p>
    <w:p>
      <w:pPr>
        <w:pStyle w:val="5"/>
      </w:pPr>
      <w:bookmarkStart w:id="94" w:name="_Toc7222"/>
      <w:r>
        <w:rPr>
          <w:rFonts w:hint="eastAsia"/>
        </w:rPr>
        <w:t>参评建筑迎背风面窗平均风压差表</w:t>
      </w:r>
      <w:bookmarkEnd w:id="94"/>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56</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-单体</w:t>
      </w:r>
      <w:bookmarkEnd w:id="1"/>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0.69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0.71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0.70</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-1.85</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2.55</w:t>
            </w:r>
          </w:p>
        </w:tc>
      </w:tr>
      <w:bookmarkEnd w:id="0"/>
      <w:bookmarkEnd w:id="2"/>
      <w:bookmarkEnd w:id="3"/>
    </w:tbl>
    <w:p/>
    <w:p>
      <w:pPr>
        <w:pStyle w:val="3"/>
        <w:ind w:firstLine="420"/>
        <w:rPr>
          <w:lang w:val="en-US"/>
        </w:rPr>
      </w:pPr>
      <w:bookmarkStart w:id="95" w:name="迎风建筑信息参评"/>
      <w:bookmarkEnd w:id="95"/>
    </w:p>
    <w:p>
      <w:pPr>
        <w:pStyle w:val="5"/>
      </w:pPr>
      <w:bookmarkStart w:id="96" w:name="_Toc3259"/>
      <w:r>
        <w:rPr>
          <w:rFonts w:hint="eastAsia"/>
        </w:rPr>
        <w:t>不参评建筑迎背风面窗平均风压差表</w:t>
      </w:r>
      <w:bookmarkEnd w:id="96"/>
    </w:p>
    <w:p>
      <w:pPr>
        <w:pStyle w:val="3"/>
        <w:ind w:firstLine="420"/>
        <w:rPr>
          <w:lang w:val="en-US"/>
        </w:rPr>
      </w:pPr>
      <w:bookmarkStart w:id="97" w:name="迎风建筑信息不参评"/>
      <w:bookmarkEnd w:id="97"/>
    </w:p>
    <w:bookmarkEnd w:id="93"/>
    <w:p>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0134A"/>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1D50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image" Target="media/image3.png"/><Relationship Id="rId79" Type="http://schemas.openxmlformats.org/officeDocument/2006/relationships/customXml" Target="../customXml/item1.xml"/><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wmf"/><Relationship Id="rId67" Type="http://schemas.openxmlformats.org/officeDocument/2006/relationships/oleObject" Target="embeddings/oleObject7.bin"/><Relationship Id="rId66" Type="http://schemas.openxmlformats.org/officeDocument/2006/relationships/image" Target="media/image55.wmf"/><Relationship Id="rId65" Type="http://schemas.openxmlformats.org/officeDocument/2006/relationships/oleObject" Target="embeddings/oleObject6.bin"/><Relationship Id="rId64" Type="http://schemas.openxmlformats.org/officeDocument/2006/relationships/image" Target="media/image54.wmf"/><Relationship Id="rId63" Type="http://schemas.openxmlformats.org/officeDocument/2006/relationships/oleObject" Target="embeddings/oleObject5.bin"/><Relationship Id="rId62" Type="http://schemas.openxmlformats.org/officeDocument/2006/relationships/image" Target="media/image53.wmf"/><Relationship Id="rId61" Type="http://schemas.openxmlformats.org/officeDocument/2006/relationships/oleObject" Target="embeddings/oleObject4.bin"/><Relationship Id="rId60" Type="http://schemas.openxmlformats.org/officeDocument/2006/relationships/image" Target="media/image52.wmf"/><Relationship Id="rId6" Type="http://schemas.openxmlformats.org/officeDocument/2006/relationships/theme" Target="theme/theme1.xml"/><Relationship Id="rId59" Type="http://schemas.openxmlformats.org/officeDocument/2006/relationships/image" Target="media/image51.wmf"/><Relationship Id="rId58" Type="http://schemas.openxmlformats.org/officeDocument/2006/relationships/image" Target="media/image50.wmf"/><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png"/><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u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tmp1.dotx</Template>
  <Pages>27</Pages>
  <Words>7240</Words>
  <Characters>8138</Characters>
  <Lines>42</Lines>
  <Paragraphs>11</Paragraphs>
  <TotalTime>1</TotalTime>
  <ScaleCrop>false</ScaleCrop>
  <LinksUpToDate>false</LinksUpToDate>
  <CharactersWithSpaces>8376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2024-11-25T02:54:00Z</dcterms:created>
  <dc:creator>haojun</dc:creator>
  <cp:lastModifiedBy>haojun</cp:lastModifiedBy>
  <dcterms:modified xsi:type="dcterms:W3CDTF">2024-11-25T02:55:31Z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