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0" w:name="_GoBack"/>
      <w:bookmarkEnd w:id="60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风澜水韵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沈阳大学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沈阳大学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2024年11月24日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T13464427122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_Toc31803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_Toc5652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_Toc14142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_Toc1741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_Toc16743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_Toc3703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_Toc1698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_Toc15939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_Toc15463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_Toc659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_Toc7993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_Toc10490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_Toc9486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_Toc31616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_Toc5134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_Toc17123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_Toc10325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_Toc20447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_Toc2189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_Toc27597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_Toc2211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_Toc21266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_Toc29414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_Toc12343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_Toc4939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3180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风澜水韵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辽宁-沈阳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2580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11609.88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3219.73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0.72</w:t>
            </w:r>
            <w:bookmarkEnd w:id="31"/>
          </w:p>
        </w:tc>
      </w:tr>
      <w:bookmarkEnd w:id="17"/>
    </w:tbl>
    <w:p>
      <w:pPr>
        <w:pStyle w:val="2"/>
      </w:pPr>
      <w:bookmarkStart w:id="32" w:name="_Toc134610462"/>
      <w:bookmarkStart w:id="33" w:name="_Toc316568036"/>
      <w:bookmarkStart w:id="34" w:name="_Toc565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4142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81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24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741"/>
      <w:r>
        <w:rPr>
          <w:kern w:val="2"/>
          <w:szCs w:val="24"/>
          <w:lang w:val="en-US"/>
        </w:rPr>
        <w:t>规定性指标检查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6743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32.0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热固复合聚苯乙烯泡沫保温板（ρ=30-50）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岩棉带（ρ=80~120）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704.1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蒸压加气混凝土B06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703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(K=0.155,D=63.482)：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玻璃棉板（用于幕墙）（ρ≥32） 20mm＋sbs改性沥青防水卷材 4mm＋c20细石混凝土(ρ=2300) 30mm＋</w:t>
      </w:r>
      <w:r>
        <w:rPr>
          <w:color w:val="800000"/>
          <w:kern w:val="2"/>
          <w:szCs w:val="24"/>
          <w:lang w:val="en-US"/>
        </w:rPr>
        <w:t>热固复合聚苯乙烯泡沫保温板（ρ=30-50） 150mm</w:t>
      </w:r>
      <w:r>
        <w:rPr>
          <w:color w:val="000000"/>
          <w:kern w:val="2"/>
          <w:szCs w:val="24"/>
          <w:lang w:val="en-US"/>
        </w:rPr>
        <w:t>＋玻璃棉板（用于幕墙）（ρ≥32） 20mm＋热固复合聚苯乙烯泡沫保温板（ρ=30-50） 30mm＋sbs改性沥青防水卷材 4mm＋玻璃棉板（用于幕墙）（ρ≥32）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(K=0.446,D=21.822)：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15mm＋</w:t>
      </w:r>
      <w:r>
        <w:rPr>
          <w:color w:val="800000"/>
          <w:kern w:val="2"/>
          <w:szCs w:val="24"/>
          <w:lang w:val="en-US"/>
        </w:rPr>
        <w:t>玻璃棉板（用于幕墙）（ρ≥32） 70mm</w:t>
      </w:r>
      <w:r>
        <w:rPr>
          <w:color w:val="000000"/>
          <w:kern w:val="2"/>
          <w:szCs w:val="24"/>
          <w:lang w:val="en-US"/>
        </w:rPr>
        <w:t>＋石灰砂浆 20mm＋</w:t>
      </w:r>
      <w:r>
        <w:rPr>
          <w:color w:val="800080"/>
          <w:kern w:val="2"/>
          <w:szCs w:val="24"/>
          <w:lang w:val="en-US"/>
        </w:rPr>
        <w:t>钢筋混凝土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(K=0.332,D=11.498)：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</w:t>
      </w:r>
      <w:r>
        <w:rPr>
          <w:color w:val="800000"/>
          <w:kern w:val="2"/>
          <w:szCs w:val="24"/>
          <w:lang w:val="en-US"/>
        </w:rPr>
        <w:t>岩棉带（ρ=80~120） 100mm</w:t>
      </w:r>
      <w:r>
        <w:rPr>
          <w:color w:val="000000"/>
          <w:kern w:val="2"/>
          <w:szCs w:val="24"/>
          <w:lang w:val="en-US"/>
        </w:rPr>
        <w:t>＋石灰砂浆 20mm＋蒸压加气混凝土B06 240mm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(K=1.127,D=6.147)：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玻璃棉板（用于幕墙）（ρ≥32） 20mm</w:t>
      </w:r>
      <w:r>
        <w:rPr>
          <w:color w:val="000000"/>
          <w:kern w:val="2"/>
          <w:szCs w:val="24"/>
          <w:lang w:val="en-US"/>
        </w:rPr>
        <w:t>＋加气混凝土、泡沫混凝土(ρ=700) 20mm＋混合砂浆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金属双玻中空玻璃5+15Ar+5高透光Low-E 隔热条24mm (K=2.300)：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传热系数2.300W/㎡.K，窗遮阳系数0.540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金属双玻中空玻璃5+15Ar+5高透光Low-E 隔热条24mm (K=2.300)：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传热系数2.300W/㎡.K，窗遮阳系数0.540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(K=0.311,D=15.313)：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玻璃棉板（用于幕墙）（ρ≥32） 20mm＋c20细石混凝土(ρ=2300) 60mm＋</w:t>
      </w:r>
      <w:r>
        <w:rPr>
          <w:color w:val="800000"/>
          <w:kern w:val="2"/>
          <w:szCs w:val="24"/>
          <w:lang w:val="en-US"/>
        </w:rPr>
        <w:t>热固复合聚苯乙烯泡沫保温板（ρ=30-50） 30mm</w:t>
      </w:r>
      <w:r>
        <w:rPr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98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3219.73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11609.88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5792.82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965.37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5817.05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2579.97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3219.73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11609.88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939"/>
      <w:r>
        <w:rPr>
          <w:color w:val="000000"/>
          <w:kern w:val="2"/>
          <w:szCs w:val="24"/>
          <w:lang w:val="en-US"/>
        </w:rPr>
        <w:t>窗墙比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97.79</w:t>
            </w:r>
          </w:p>
        </w:tc>
        <w:tc>
          <w:tcPr>
            <w:vAlign w:val="center"/>
          </w:tcPr>
          <w:p>
            <w:r>
              <w:t>450.84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130.65</w:t>
            </w:r>
          </w:p>
        </w:tc>
        <w:tc>
          <w:tcPr>
            <w:vAlign w:val="center"/>
          </w:tcPr>
          <w:p>
            <w:r>
              <w:t>769.10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65.94</w:t>
            </w:r>
          </w:p>
        </w:tc>
        <w:tc>
          <w:tcPr>
            <w:vAlign w:val="center"/>
          </w:tcPr>
          <w:p>
            <w:r>
              <w:t>349.74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68.72</w:t>
            </w:r>
          </w:p>
        </w:tc>
        <w:tc>
          <w:tcPr>
            <w:vAlign w:val="center"/>
          </w:tcPr>
          <w:p>
            <w:r>
              <w:t>345.54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14.99</w:t>
            </w:r>
          </w:p>
        </w:tc>
        <w:tc>
          <w:tcPr>
            <w:vMerge w:val="restart"/>
            <w:vAlign w:val="center"/>
          </w:tcPr>
          <w:p>
            <w:r>
              <w:t>97.79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66.60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44.85</w:t>
            </w:r>
          </w:p>
        </w:tc>
        <w:tc>
          <w:tcPr>
            <w:vMerge w:val="restart"/>
            <w:vAlign w:val="center"/>
          </w:tcPr>
          <w:p>
            <w:r>
              <w:t>130.65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57.60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29.94</w:t>
            </w:r>
          </w:p>
        </w:tc>
        <w:tc>
          <w:tcPr>
            <w:vMerge w:val="restart"/>
            <w:vAlign w:val="center"/>
          </w:tcPr>
          <w:p>
            <w:r>
              <w:t>65.94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29.72</w:t>
            </w:r>
          </w:p>
        </w:tc>
        <w:tc>
          <w:tcPr>
            <w:vMerge w:val="restart"/>
            <w:vAlign w:val="center"/>
          </w:tcPr>
          <w:p>
            <w:r>
              <w:t>68.72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0.60×2.00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5463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59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993"/>
      <w:r>
        <w:rPr>
          <w:color w:val="000000"/>
          <w:kern w:val="2"/>
          <w:szCs w:val="24"/>
          <w:lang w:val="en-US"/>
        </w:rPr>
        <w:t>屋顶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5.556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热固复合聚苯乙烯泡沫保温板（ρ=30-50）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37.500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5.556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热固复合聚苯乙烯泡沫保温板（ρ=30-50）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5.556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6.290</w:t>
            </w:r>
          </w:p>
        </w:tc>
        <w:tc>
          <w:tcPr>
            <w:vAlign w:val="center"/>
          </w:tcPr>
          <w:p>
            <w:r>
              <w:t>63.482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K≤0.35,S≤0.3或K≤0.28,0.3&lt;S≤0.50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0490"/>
      <w:r>
        <w:rPr>
          <w:color w:val="000000"/>
          <w:kern w:val="2"/>
          <w:szCs w:val="24"/>
          <w:lang w:val="en-US"/>
        </w:rPr>
        <w:t>外墙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1.944</w:t>
            </w:r>
          </w:p>
        </w:tc>
        <w:tc>
          <w:tcPr>
            <w:vAlign w:val="center"/>
          </w:tcPr>
          <w:p>
            <w:r>
              <w:t>19.444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2.094</w:t>
            </w:r>
          </w:p>
        </w:tc>
        <w:tc>
          <w:tcPr>
            <w:vAlign w:val="center"/>
          </w:tcPr>
          <w:p>
            <w:r>
              <w:t>21.822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岩棉带（ρ=80~120）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蒸压加气混凝土B06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2.861</w:t>
            </w:r>
          </w:p>
        </w:tc>
        <w:tc>
          <w:tcPr>
            <w:vAlign w:val="center"/>
          </w:tcPr>
          <w:p>
            <w:r>
              <w:t>11.498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183.85</w:t>
            </w:r>
          </w:p>
        </w:tc>
        <w:tc>
          <w:tcPr>
            <w:vAlign w:val="center"/>
          </w:tcPr>
          <w:p>
            <w:r>
              <w:t>0.521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21.82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169.20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353.05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16.87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380.56</w:t>
            </w:r>
          </w:p>
        </w:tc>
        <w:tc>
          <w:tcPr>
            <w:vAlign w:val="center"/>
          </w:tcPr>
          <w:p>
            <w:r>
              <w:t>0.596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257.89</w:t>
            </w:r>
          </w:p>
        </w:tc>
        <w:tc>
          <w:tcPr>
            <w:vAlign w:val="center"/>
          </w:tcPr>
          <w:p>
            <w:r>
              <w:t>0.404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21.82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638.45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15.67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256.53</w:t>
            </w:r>
          </w:p>
        </w:tc>
        <w:tc>
          <w:tcPr>
            <w:vAlign w:val="center"/>
          </w:tcPr>
          <w:p>
            <w:r>
              <w:t>0.914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21.82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24.28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280.80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20.93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247.43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21.82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25.91</w:t>
            </w:r>
          </w:p>
        </w:tc>
        <w:tc>
          <w:tcPr>
            <w:vAlign w:val="center"/>
          </w:tcPr>
          <w:p>
            <w:r>
              <w:t>0.095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273.34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20.84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945.70</w:t>
            </w:r>
          </w:p>
        </w:tc>
        <w:tc>
          <w:tcPr>
            <w:vAlign w:val="center"/>
          </w:tcPr>
          <w:p>
            <w:r>
              <w:t>0.612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21.82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599.94</w:t>
            </w:r>
          </w:p>
        </w:tc>
        <w:tc>
          <w:tcPr>
            <w:vAlign w:val="center"/>
          </w:tcPr>
          <w:p>
            <w:r>
              <w:t>0.388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1545.64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17.81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K≤0.43,S≤0.30或K≤0.38,0.30&lt;S≤0.50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486"/>
      <w:r>
        <w:rPr>
          <w:color w:val="000000"/>
          <w:kern w:val="2"/>
          <w:szCs w:val="24"/>
          <w:lang w:val="en-US"/>
        </w:rPr>
        <w:t>挑空楼板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616"/>
      <w:r>
        <w:rPr>
          <w:color w:val="000000"/>
          <w:kern w:val="2"/>
          <w:szCs w:val="24"/>
          <w:lang w:val="en-US"/>
        </w:rPr>
        <w:t>采暖与非采暖隔墙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5.556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0.089</w:t>
            </w:r>
          </w:p>
        </w:tc>
        <w:tc>
          <w:tcPr>
            <w:vAlign w:val="center"/>
          </w:tcPr>
          <w:p>
            <w:r>
              <w:t>0.344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134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123"/>
      <w:r>
        <w:rPr>
          <w:color w:val="000000"/>
          <w:kern w:val="2"/>
          <w:szCs w:val="24"/>
          <w:lang w:val="en-US"/>
        </w:rPr>
        <w:t>外窗热工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金属双玻中空玻璃5+15Ar+5高透光Low-E 隔热条24mm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辽宁居住建筑节能设计标准 DB21-2885-2017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金属双玻中空玻璃5+15Ar+5高透光Low-E 隔热条24mm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《建筑节能门窗》16J607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1，8，3，4，5，透光门-16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29.936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65.936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29.716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68.716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14.988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66.600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97.788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44.849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130.649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97.79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K≤2.60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130.65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65.94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68.72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363.09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外窗传热系数应满足表3.3.1-2的要求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325"/>
      <w:r>
        <w:rPr>
          <w:color w:val="000000"/>
          <w:kern w:val="2"/>
          <w:szCs w:val="24"/>
          <w:lang w:val="en-US"/>
        </w:rPr>
        <w:t>周边地面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玻璃棉板（用于幕墙）（ρ≥32）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5.556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热固复合聚苯乙烯泡沫保温板（ρ=30-50）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0.714</w:t>
            </w:r>
          </w:p>
        </w:tc>
        <w:tc>
          <w:tcPr>
            <w:vAlign w:val="center"/>
          </w:tcPr>
          <w:p>
            <w:r>
              <w:t>7.500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1.416</w:t>
            </w:r>
          </w:p>
        </w:tc>
        <w:tc>
          <w:tcPr>
            <w:vAlign w:val="center"/>
          </w:tcPr>
          <w:p>
            <w:r>
              <w:t>15.313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447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89"/>
      <w:r>
        <w:rPr>
          <w:color w:val="000000"/>
          <w:kern w:val="2"/>
          <w:szCs w:val="24"/>
          <w:lang w:val="en-US"/>
        </w:rPr>
        <w:t>变形缝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7597"/>
      <w:r>
        <w:rPr>
          <w:color w:val="000000"/>
          <w:kern w:val="2"/>
          <w:szCs w:val="24"/>
          <w:lang w:val="en-US"/>
        </w:rPr>
        <w:t>有效通风换气面积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1027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887.57</w:t>
            </w:r>
          </w:p>
        </w:tc>
        <w:tc>
          <w:tcPr>
            <w:vMerge w:val="restart"/>
            <w:vAlign w:val="center"/>
          </w:tcPr>
          <w:p>
            <w:r>
              <w:t>573.02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透光门-16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35.89</w:t>
            </w:r>
          </w:p>
        </w:tc>
        <w:tc>
          <w:tcPr>
            <w:vMerge w:val="restart"/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1029</w:t>
            </w:r>
          </w:p>
        </w:tc>
        <w:tc>
          <w:tcPr>
            <w:gridSpan w:val="2"/>
            <w:vAlign w:val="center"/>
          </w:tcPr>
          <w:p>
            <w:r>
              <w:t>35.75</w:t>
            </w:r>
          </w:p>
        </w:tc>
        <w:tc>
          <w:tcPr>
            <w:vAlign w:val="center"/>
          </w:tcPr>
          <w:p>
            <w:r>
              <w:t>49.48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1030</w:t>
            </w:r>
          </w:p>
        </w:tc>
        <w:tc>
          <w:tcPr>
            <w:gridSpan w:val="2"/>
            <w:vAlign w:val="center"/>
          </w:tcPr>
          <w:p>
            <w:r>
              <w:t>34.05</w:t>
            </w:r>
          </w:p>
        </w:tc>
        <w:tc>
          <w:tcPr>
            <w:vAlign w:val="center"/>
          </w:tcPr>
          <w:p>
            <w:r>
              <w:t>49.53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1031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26.55</w:t>
            </w:r>
          </w:p>
        </w:tc>
        <w:tc>
          <w:tcPr>
            <w:vMerge w:val="restart"/>
            <w:vAlign w:val="center"/>
          </w:tcPr>
          <w:p>
            <w:r>
              <w:t>75.45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1032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21.80</w:t>
            </w:r>
          </w:p>
        </w:tc>
        <w:tc>
          <w:tcPr>
            <w:vMerge w:val="restart"/>
            <w:vAlign w:val="center"/>
          </w:tcPr>
          <w:p>
            <w:r>
              <w:t>22.57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1033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21.80</w:t>
            </w:r>
          </w:p>
        </w:tc>
        <w:tc>
          <w:tcPr>
            <w:vMerge w:val="restart"/>
            <w:vAlign w:val="center"/>
          </w:tcPr>
          <w:p>
            <w:r>
              <w:t>22.57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1036</w:t>
            </w:r>
          </w:p>
        </w:tc>
        <w:tc>
          <w:tcPr>
            <w:gridSpan w:val="2"/>
            <w:vAlign w:val="center"/>
          </w:tcPr>
          <w:p>
            <w:r>
              <w:t>14.92</w:t>
            </w:r>
          </w:p>
        </w:tc>
        <w:tc>
          <w:tcPr>
            <w:vAlign w:val="center"/>
          </w:tcPr>
          <w:p>
            <w:r>
              <w:t>49.79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1037</w:t>
            </w:r>
          </w:p>
        </w:tc>
        <w:tc>
          <w:tcPr>
            <w:gridSpan w:val="2"/>
            <w:vAlign w:val="center"/>
          </w:tcPr>
          <w:p>
            <w:r>
              <w:t>14.92</w:t>
            </w:r>
          </w:p>
        </w:tc>
        <w:tc>
          <w:tcPr>
            <w:vAlign w:val="center"/>
          </w:tcPr>
          <w:p>
            <w:r>
              <w:t>49.79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1040</w:t>
            </w:r>
          </w:p>
        </w:tc>
        <w:tc>
          <w:tcPr>
            <w:gridSpan w:val="2"/>
            <w:vAlign w:val="center"/>
          </w:tcPr>
          <w:p>
            <w:r>
              <w:t>13.26</w:t>
            </w:r>
          </w:p>
        </w:tc>
        <w:tc>
          <w:tcPr>
            <w:vAlign w:val="center"/>
          </w:tcPr>
          <w:p>
            <w:r>
              <w:t>21.54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1042</w:t>
            </w:r>
          </w:p>
        </w:tc>
        <w:tc>
          <w:tcPr>
            <w:gridSpan w:val="2"/>
            <w:vAlign w:val="center"/>
          </w:tcPr>
          <w:p>
            <w:r>
              <w:t>13.26</w:t>
            </w:r>
          </w:p>
        </w:tc>
        <w:tc>
          <w:tcPr>
            <w:vAlign w:val="center"/>
          </w:tcPr>
          <w:p>
            <w:r>
              <w:t>21.54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1048</w:t>
            </w:r>
          </w:p>
        </w:tc>
        <w:tc>
          <w:tcPr>
            <w:gridSpan w:val="2"/>
            <w:vAlign w:val="center"/>
          </w:tcPr>
          <w:p>
            <w:r>
              <w:t>8.82</w:t>
            </w:r>
          </w:p>
        </w:tc>
        <w:tc>
          <w:tcPr>
            <w:vAlign w:val="center"/>
          </w:tcPr>
          <w:p>
            <w:r>
              <w:t>12.69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218.28</w:t>
            </w:r>
          </w:p>
        </w:tc>
        <w:tc>
          <w:tcPr>
            <w:vMerge w:val="restart"/>
            <w:vAlign w:val="center"/>
          </w:tcPr>
          <w:p>
            <w:r>
              <w:t>172.01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24.33</w:t>
            </w:r>
          </w:p>
        </w:tc>
        <w:tc>
          <w:tcPr>
            <w:vMerge w:val="restart"/>
            <w:vAlign w:val="center"/>
          </w:tcPr>
          <w:p>
            <w:r>
              <w:t>35.56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9.14</w:t>
            </w:r>
          </w:p>
        </w:tc>
        <w:tc>
          <w:tcPr>
            <w:vAlign w:val="center"/>
          </w:tcPr>
          <w:p>
            <w:r>
              <w:t>12.69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gridSpan w:val="2"/>
            <w:vAlign w:val="center"/>
          </w:tcPr>
          <w:p>
            <w:r>
              <w:t>14.92</w:t>
            </w:r>
          </w:p>
        </w:tc>
        <w:tc>
          <w:tcPr>
            <w:vAlign w:val="center"/>
          </w:tcPr>
          <w:p>
            <w:r>
              <w:t>49.79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21.80</w:t>
            </w:r>
          </w:p>
        </w:tc>
        <w:tc>
          <w:tcPr>
            <w:vMerge w:val="restart"/>
            <w:vAlign w:val="center"/>
          </w:tcPr>
          <w:p>
            <w:r>
              <w:t>22.57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13.26</w:t>
            </w:r>
          </w:p>
        </w:tc>
        <w:tc>
          <w:tcPr>
            <w:vAlign w:val="center"/>
          </w:tcPr>
          <w:p>
            <w:r>
              <w:t>21.54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21.80</w:t>
            </w:r>
          </w:p>
        </w:tc>
        <w:tc>
          <w:tcPr>
            <w:vMerge w:val="restart"/>
            <w:vAlign w:val="center"/>
          </w:tcPr>
          <w:p>
            <w:r>
              <w:t>22.57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27.38</w:t>
            </w:r>
          </w:p>
        </w:tc>
        <w:tc>
          <w:tcPr>
            <w:vMerge w:val="restart"/>
            <w:vAlign w:val="center"/>
          </w:tcPr>
          <w:p>
            <w:r>
              <w:t>75.45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34.57</w:t>
            </w:r>
          </w:p>
        </w:tc>
        <w:tc>
          <w:tcPr>
            <w:vMerge w:val="restart"/>
            <w:vAlign w:val="center"/>
          </w:tcPr>
          <w:p>
            <w:r>
              <w:t>40.84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34.50</w:t>
            </w:r>
          </w:p>
        </w:tc>
        <w:tc>
          <w:tcPr>
            <w:vMerge w:val="restart"/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gridSpan w:val="2"/>
            <w:vAlign w:val="center"/>
          </w:tcPr>
          <w:p>
            <w:r>
              <w:t>14.92</w:t>
            </w:r>
          </w:p>
        </w:tc>
        <w:tc>
          <w:tcPr>
            <w:vAlign w:val="center"/>
          </w:tcPr>
          <w:p>
            <w:r>
              <w:t>49.79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</w:t>
            </w:r>
          </w:p>
        </w:tc>
        <w:tc>
          <w:tcPr>
            <w:gridSpan w:val="2"/>
            <w:vAlign w:val="center"/>
          </w:tcPr>
          <w:p>
            <w:r>
              <w:t>35.75</w:t>
            </w:r>
          </w:p>
        </w:tc>
        <w:tc>
          <w:tcPr>
            <w:vAlign w:val="center"/>
          </w:tcPr>
          <w:p>
            <w:r>
              <w:t>49.48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</w:t>
            </w:r>
          </w:p>
        </w:tc>
        <w:tc>
          <w:tcPr>
            <w:gridSpan w:val="2"/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49.53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35.89</w:t>
            </w:r>
          </w:p>
        </w:tc>
        <w:tc>
          <w:tcPr>
            <w:vMerge w:val="restart"/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492.75</w:t>
            </w:r>
          </w:p>
        </w:tc>
        <w:tc>
          <w:tcPr>
            <w:vMerge w:val="restart"/>
            <w:vAlign w:val="center"/>
          </w:tcPr>
          <w:p>
            <w:r>
              <w:t>297.58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2041</w:t>
            </w:r>
          </w:p>
        </w:tc>
        <w:tc>
          <w:tcPr>
            <w:gridSpan w:val="2"/>
            <w:vAlign w:val="center"/>
          </w:tcPr>
          <w:p>
            <w:r>
              <w:t>13.26</w:t>
            </w:r>
          </w:p>
        </w:tc>
        <w:tc>
          <w:tcPr>
            <w:vAlign w:val="center"/>
          </w:tcPr>
          <w:p>
            <w:r>
              <w:t>21.54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211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97.79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130.65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65.94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68.72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1266"/>
      <w:r>
        <w:rPr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6级（窗编号：1）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9414"/>
      <w:r>
        <w:rPr>
          <w:color w:val="000000"/>
          <w:kern w:val="2"/>
          <w:szCs w:val="24"/>
          <w:lang w:val="en-US"/>
        </w:rPr>
        <w:t>外门气密性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4级（窗编号：15）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2343"/>
      <w:r>
        <w:rPr>
          <w:color w:val="000000"/>
          <w:kern w:val="2"/>
          <w:szCs w:val="24"/>
          <w:lang w:val="en-US"/>
        </w:rPr>
        <w:t>幕墙气密性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3级（窗编号：）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4939"/>
      <w:r>
        <w:rPr>
          <w:color w:val="000000"/>
          <w:kern w:val="2"/>
          <w:szCs w:val="24"/>
          <w:lang w:val="en-US"/>
        </w:rPr>
        <w:t>规定性指标检查结论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2297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55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u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6174</Words>
  <Characters>11036</Characters>
  <Lines>13</Lines>
  <Paragraphs>3</Paragraphs>
  <TotalTime>0</TotalTime>
  <ScaleCrop>false</ScaleCrop>
  <LinksUpToDate>false</LinksUpToDate>
  <CharactersWithSpaces>11224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2024-11-24T08:15:00Z</dcterms:created>
  <dc:creator>haojun</dc:creator>
  <cp:lastModifiedBy>haojun</cp:lastModifiedBy>
  <dcterms:modified xsi:type="dcterms:W3CDTF">2024-11-24T08:15:55Z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