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共享公寓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河南-郑州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B82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T18021266786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FEEACC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_Toc4208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_Toc4208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C9369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_Toc15168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_Toc15168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B0A71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_Toc27740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_Toc27740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66A27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_Toc7059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_Toc7059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24EA5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F9F77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_Toc2451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9179D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_Toc21526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_Toc21526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98AFB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_Toc23437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_Toc23437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95DAE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阳台隔墙构造：阳台隔墙构造一砼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_Toc3478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71AA93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_Toc26080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_Toc26080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218444"/>
      <w:bookmarkStart w:id="14" w:name="_Toc480186122"/>
      <w:bookmarkStart w:id="15" w:name="_Toc155690474"/>
      <w:bookmarkStart w:id="16" w:name="_Toc316568035"/>
      <w:bookmarkStart w:id="17" w:name="_Toc480186060"/>
      <w:bookmarkStart w:id="18" w:name="_Toc4208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共享公寓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河南-郑州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5054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206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9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26.6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剪力墙结构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123"/>
      <w:bookmarkStart w:id="30" w:name="_Toc480218445"/>
      <w:bookmarkStart w:id="31" w:name="_Toc155690475"/>
      <w:bookmarkStart w:id="32" w:name="_Toc316568036"/>
      <w:bookmarkStart w:id="33" w:name="_Toc480186061"/>
      <w:bookmarkStart w:id="34" w:name="_Toc1516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124"/>
      <w:bookmarkStart w:id="39" w:name="_Toc155690476"/>
      <w:bookmarkStart w:id="40" w:name="_Toc480186062"/>
      <w:bookmarkStart w:id="41" w:name="_Toc27740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80186063"/>
      <w:bookmarkStart w:id="44" w:name="_Toc480186125"/>
      <w:bookmarkStart w:id="45" w:name="_Toc480218447"/>
      <w:bookmarkStart w:id="46" w:name="_Toc479931706"/>
      <w:bookmarkStart w:id="47" w:name="_Toc7059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155690478"/>
      <w:bookmarkStart w:id="50" w:name="_Toc480186126"/>
      <w:bookmarkStart w:id="51" w:name="_Toc480218448"/>
      <w:bookmarkStart w:id="52" w:name="_Toc185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45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1526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08CB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0.870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1700.00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0.0975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72F31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79ABDD">
            <w:r>
              <w:t>碎石、卵石混凝土(ρ=2100)</w:t>
            </w:r>
          </w:p>
        </w:tc>
        <w:tc>
          <w:tcPr>
            <w:tcW w:w="848" w:type="dxa"/>
            <w:vAlign w:val="center"/>
          </w:tcPr>
          <w:p w14:paraId="1D54345F">
            <w:r>
              <w:t>40</w:t>
            </w:r>
          </w:p>
        </w:tc>
        <w:tc>
          <w:tcPr>
            <w:tcW w:w="1075" w:type="dxa"/>
            <w:vAlign w:val="center"/>
          </w:tcPr>
          <w:p w14:paraId="4637C6A8">
            <w:r>
              <w:t>1.280</w:t>
            </w:r>
          </w:p>
        </w:tc>
        <w:tc>
          <w:tcPr>
            <w:tcW w:w="671" w:type="dxa"/>
            <w:vAlign w:val="center"/>
          </w:tcPr>
          <w:p w14:paraId="49993433">
            <w:r>
              <w:t>1.00</w:t>
            </w:r>
          </w:p>
        </w:tc>
        <w:tc>
          <w:tcPr>
            <w:tcW w:w="992" w:type="dxa"/>
            <w:vAlign w:val="center"/>
          </w:tcPr>
          <w:p w14:paraId="1A8D3658">
            <w:r>
              <w:t>2100.00</w:t>
            </w:r>
          </w:p>
        </w:tc>
        <w:tc>
          <w:tcPr>
            <w:tcW w:w="1559" w:type="dxa"/>
            <w:vAlign w:val="center"/>
          </w:tcPr>
          <w:p w14:paraId="61E8CB05">
            <w:r>
              <w:t>0.0173</w:t>
            </w:r>
          </w:p>
        </w:tc>
        <w:tc>
          <w:tcPr>
            <w:tcW w:w="993" w:type="dxa"/>
            <w:vAlign w:val="center"/>
          </w:tcPr>
          <w:p w14:paraId="040323BC">
            <w:r>
              <w:t>0.031</w:t>
            </w:r>
          </w:p>
        </w:tc>
      </w:tr>
      <w:tr w14:paraId="32158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2E65E3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60342EE">
            <w:r>
              <w:t>180</w:t>
            </w:r>
          </w:p>
        </w:tc>
        <w:tc>
          <w:tcPr>
            <w:tcW w:w="1075" w:type="dxa"/>
            <w:vAlign w:val="center"/>
          </w:tcPr>
          <w:p w14:paraId="29E0B742">
            <w:r>
              <w:t>0.030</w:t>
            </w:r>
          </w:p>
        </w:tc>
        <w:tc>
          <w:tcPr>
            <w:tcW w:w="671" w:type="dxa"/>
            <w:vAlign w:val="center"/>
          </w:tcPr>
          <w:p w14:paraId="74BA8544">
            <w:r>
              <w:t>1.10</w:t>
            </w:r>
          </w:p>
        </w:tc>
        <w:tc>
          <w:tcPr>
            <w:tcW w:w="992" w:type="dxa"/>
            <w:vAlign w:val="center"/>
          </w:tcPr>
          <w:p w14:paraId="213C419C">
            <w:r>
              <w:t>28.50</w:t>
            </w:r>
          </w:p>
        </w:tc>
        <w:tc>
          <w:tcPr>
            <w:tcW w:w="1559" w:type="dxa"/>
            <w:vAlign w:val="center"/>
          </w:tcPr>
          <w:p w14:paraId="61997A60">
            <w:r>
              <w:t>0.0162</w:t>
            </w:r>
          </w:p>
        </w:tc>
        <w:tc>
          <w:tcPr>
            <w:tcW w:w="993" w:type="dxa"/>
            <w:vAlign w:val="center"/>
          </w:tcPr>
          <w:p w14:paraId="4C8914F4">
            <w:r>
              <w:t>5.455</w:t>
            </w:r>
          </w:p>
        </w:tc>
      </w:tr>
      <w:tr w14:paraId="04737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C113B5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1F25382">
            <w:r>
              <w:t>30</w:t>
            </w:r>
          </w:p>
        </w:tc>
        <w:tc>
          <w:tcPr>
            <w:tcW w:w="1075" w:type="dxa"/>
            <w:vAlign w:val="center"/>
          </w:tcPr>
          <w:p w14:paraId="5C4D22EE">
            <w:r>
              <w:t>0.300</w:t>
            </w:r>
          </w:p>
        </w:tc>
        <w:tc>
          <w:tcPr>
            <w:tcW w:w="671" w:type="dxa"/>
            <w:vAlign w:val="center"/>
          </w:tcPr>
          <w:p w14:paraId="50E1E4C4">
            <w:r>
              <w:t>1.50</w:t>
            </w:r>
          </w:p>
        </w:tc>
        <w:tc>
          <w:tcPr>
            <w:tcW w:w="992" w:type="dxa"/>
            <w:vAlign w:val="center"/>
          </w:tcPr>
          <w:p w14:paraId="1D9EBB68">
            <w:r>
              <w:t>1050.00</w:t>
            </w:r>
          </w:p>
        </w:tc>
        <w:tc>
          <w:tcPr>
            <w:tcW w:w="1559" w:type="dxa"/>
            <w:vAlign w:val="center"/>
          </w:tcPr>
          <w:p w14:paraId="5515F1BE">
            <w:r>
              <w:t>0.0140</w:t>
            </w:r>
          </w:p>
        </w:tc>
        <w:tc>
          <w:tcPr>
            <w:tcW w:w="993" w:type="dxa"/>
            <w:vAlign w:val="center"/>
          </w:tcPr>
          <w:p w14:paraId="34AA7927">
            <w:r>
              <w:t>0.067</w:t>
            </w:r>
          </w:p>
        </w:tc>
      </w:tr>
      <w:tr w14:paraId="697A9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68561F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7DA9EB1">
            <w:r>
              <w:t>150</w:t>
            </w:r>
          </w:p>
        </w:tc>
        <w:tc>
          <w:tcPr>
            <w:tcW w:w="1075" w:type="dxa"/>
            <w:vAlign w:val="center"/>
          </w:tcPr>
          <w:p w14:paraId="61CE1E5A">
            <w:r>
              <w:t>0.870</w:t>
            </w:r>
          </w:p>
        </w:tc>
        <w:tc>
          <w:tcPr>
            <w:tcW w:w="671" w:type="dxa"/>
            <w:vAlign w:val="center"/>
          </w:tcPr>
          <w:p w14:paraId="7B1AFE67">
            <w:r>
              <w:t>1.00</w:t>
            </w:r>
          </w:p>
        </w:tc>
        <w:tc>
          <w:tcPr>
            <w:tcW w:w="992" w:type="dxa"/>
            <w:vAlign w:val="center"/>
          </w:tcPr>
          <w:p w14:paraId="3BE9B6F5">
            <w:r>
              <w:t>1700.00</w:t>
            </w:r>
          </w:p>
        </w:tc>
        <w:tc>
          <w:tcPr>
            <w:tcW w:w="1559" w:type="dxa"/>
            <w:vAlign w:val="center"/>
          </w:tcPr>
          <w:p w14:paraId="1E43D530">
            <w:r>
              <w:t>0.0975</w:t>
            </w:r>
          </w:p>
        </w:tc>
        <w:tc>
          <w:tcPr>
            <w:tcW w:w="993" w:type="dxa"/>
            <w:vAlign w:val="center"/>
          </w:tcPr>
          <w:p w14:paraId="48BBE12A">
            <w:r>
              <w:t>0.172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F0DA45">
            <w:r>
              <w:t>水泥砂浆</w:t>
            </w:r>
          </w:p>
        </w:tc>
        <w:tc>
          <w:tcPr>
            <w:tcW w:w="848" w:type="dxa"/>
            <w:vAlign w:val="center"/>
          </w:tcPr>
          <w:p w14:paraId="2F2FE4BC">
            <w:r>
              <w:t>20</w:t>
            </w:r>
          </w:p>
        </w:tc>
        <w:tc>
          <w:tcPr>
            <w:tcW w:w="1075" w:type="dxa"/>
            <w:vAlign w:val="center"/>
          </w:tcPr>
          <w:p w14:paraId="6B54BD87">
            <w:r>
              <w:t>0.930</w:t>
            </w:r>
          </w:p>
        </w:tc>
        <w:tc>
          <w:tcPr>
            <w:tcW w:w="671" w:type="dxa"/>
            <w:vAlign w:val="center"/>
          </w:tcPr>
          <w:p w14:paraId="253D0F63">
            <w:r>
              <w:t>1.00</w:t>
            </w:r>
          </w:p>
        </w:tc>
        <w:tc>
          <w:tcPr>
            <w:tcW w:w="992" w:type="dxa"/>
            <w:vAlign w:val="center"/>
          </w:tcPr>
          <w:p w14:paraId="64429F04">
            <w:r>
              <w:t>1800.00</w:t>
            </w:r>
          </w:p>
        </w:tc>
        <w:tc>
          <w:tcPr>
            <w:tcW w:w="1559" w:type="dxa"/>
            <w:vAlign w:val="center"/>
          </w:tcPr>
          <w:p w14:paraId="2FFA9307">
            <w:r>
              <w:t>0.0210</w:t>
            </w:r>
          </w:p>
        </w:tc>
        <w:tc>
          <w:tcPr>
            <w:tcW w:w="993" w:type="dxa"/>
            <w:vAlign w:val="center"/>
          </w:tcPr>
          <w:p w14:paraId="44011582">
            <w:r>
              <w:t>0.022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0CC7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0ACF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0E544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FC32C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AABE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C55C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27D3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EFA7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45F2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AE69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F699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8CF5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B0B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A2721C">
            <w:pPr>
              <w:jc w:val="center"/>
            </w:pPr>
            <w:r>
              <w:t>2.6667</w:t>
            </w:r>
          </w:p>
        </w:tc>
      </w:tr>
      <w:tr w14:paraId="5A79B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90058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D1AA4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D15B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840DB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84E763">
            <w:pPr>
              <w:jc w:val="center"/>
            </w:pPr>
            <w:r>
              <w:t>2.60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2C5D0F">
            <w:pPr>
              <w:jc w:val="center"/>
            </w:pPr>
            <w:r>
              <w:t>736.1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C72C8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784D6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D7B7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B04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36D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111A9D">
            <w:pPr>
              <w:jc w:val="center"/>
            </w:pPr>
          </w:p>
        </w:tc>
      </w:tr>
      <w:tr w14:paraId="6D268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C61C8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C21CA5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B8484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B8E7C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A9FE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FFE3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EA9C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7B1379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39247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224CE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0B1A3B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238275">
            <w:pPr>
              <w:jc w:val="center"/>
            </w:pPr>
            <w:r>
              <w:t>205.13</w:t>
            </w:r>
          </w:p>
        </w:tc>
      </w:tr>
      <w:tr w14:paraId="5ABDF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E8EA3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AFEE6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E00A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9A2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6A8ED5">
            <w:pPr>
              <w:jc w:val="center"/>
            </w:pPr>
            <w:r>
              <w:t>2.66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89FB9">
            <w:pPr>
              <w:jc w:val="center"/>
            </w:pPr>
            <w:r>
              <w:t>739.3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4CBD46">
            <w:pPr>
              <w:jc w:val="center"/>
            </w:pPr>
            <w:r>
              <w:t>426.0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12607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2765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B63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14A2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851EA6">
            <w:pPr>
              <w:jc w:val="center"/>
            </w:pPr>
          </w:p>
        </w:tc>
      </w:tr>
      <w:tr w14:paraId="1BCB4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A2F53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17D1C1">
            <w:pPr>
              <w:jc w:val="center"/>
            </w:pPr>
            <w:r>
              <w:t>碎石、卵石混凝土(ρ=2100)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199F9B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BA074B">
            <w:pPr>
              <w:jc w:val="center"/>
            </w:pPr>
            <w:r>
              <w:t>2100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9369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C84E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0852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D3C5CD">
            <w:pPr>
              <w:jc w:val="center"/>
            </w:pPr>
            <w:r>
              <w:t>1.28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9B78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DB06D1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D00380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444318">
            <w:pPr>
              <w:jc w:val="center"/>
            </w:pPr>
            <w:r>
              <w:t>2312.14</w:t>
            </w:r>
          </w:p>
        </w:tc>
      </w:tr>
      <w:tr w14:paraId="3A96A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2C3AA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059FD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F15F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81D5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836CC9">
            <w:pPr>
              <w:jc w:val="center"/>
            </w:pPr>
            <w:r>
              <w:t>2.74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F0683E">
            <w:pPr>
              <w:jc w:val="center"/>
            </w:pPr>
            <w:r>
              <w:t>743.5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A70EC">
            <w:pPr>
              <w:jc w:val="center"/>
            </w:pPr>
            <w:r>
              <w:t>529.8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C7D2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A6FF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8511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0051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99106D">
            <w:pPr>
              <w:jc w:val="center"/>
            </w:pPr>
          </w:p>
        </w:tc>
      </w:tr>
      <w:tr w14:paraId="2BC8B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B2D88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3C258F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4B2D79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CF8F3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9E98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5EC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0D5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452C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566AE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95A46">
            <w:pPr>
              <w:jc w:val="center"/>
            </w:pPr>
            <w:r>
              <w:t>5.45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8085B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64D4C2">
            <w:pPr>
              <w:jc w:val="center"/>
            </w:pPr>
            <w:r>
              <w:t>11111.11</w:t>
            </w:r>
          </w:p>
        </w:tc>
      </w:tr>
      <w:tr w14:paraId="43E08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2BDBE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F062E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7D47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958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305E06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DB754E">
            <w:pPr>
              <w:jc w:val="center"/>
            </w:pPr>
            <w:r>
              <w:t>1939.7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033EB3">
            <w:pPr>
              <w:jc w:val="center"/>
            </w:pPr>
            <w:r>
              <w:t>1028.8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AF089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06A9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330C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04A8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DC4F7E">
            <w:pPr>
              <w:jc w:val="center"/>
            </w:pPr>
          </w:p>
        </w:tc>
      </w:tr>
      <w:tr w14:paraId="29B20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8E3D1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4E7BFC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689D09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5C7D8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D595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8AB7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131F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EE1E29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2A62AD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DF0A45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5C3603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8E6DDB">
            <w:pPr>
              <w:jc w:val="center"/>
            </w:pPr>
            <w:r>
              <w:t>2142.86</w:t>
            </w:r>
          </w:p>
        </w:tc>
      </w:tr>
      <w:tr w14:paraId="6DBED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0363D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5642A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788C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085A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0B78E7"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180331">
            <w:pPr>
              <w:jc w:val="center"/>
            </w:pPr>
            <w:r>
              <w:t>1961.7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45BC98">
            <w:pPr>
              <w:jc w:val="center"/>
            </w:pPr>
            <w:r>
              <w:t>1125.0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8AE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9A97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CE36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FB3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5E62CB">
            <w:pPr>
              <w:jc w:val="center"/>
            </w:pPr>
          </w:p>
        </w:tc>
      </w:tr>
      <w:tr w14:paraId="490AD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25D99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EFFFCD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E54290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530B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8BF7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2E47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715C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97FAE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A91BC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3A471B">
            <w:pPr>
              <w:jc w:val="center"/>
            </w:pPr>
            <w:r>
              <w:t>0.17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68F8E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8FBC8F">
            <w:pPr>
              <w:jc w:val="center"/>
            </w:pPr>
            <w:r>
              <w:t>1538.46</w:t>
            </w:r>
          </w:p>
        </w:tc>
      </w:tr>
      <w:tr w14:paraId="69821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569FC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B392F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6263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022F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12829F">
            <w:pPr>
              <w:jc w:val="center"/>
            </w:pPr>
            <w:r>
              <w:t>17.66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E2135D">
            <w:pPr>
              <w:jc w:val="center"/>
            </w:pPr>
            <w:r>
              <w:t>2018.6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0E116F">
            <w:pPr>
              <w:jc w:val="center"/>
            </w:pPr>
            <w:r>
              <w:t>1194.1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42D5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8CB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1DF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70ED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2E8D4B">
            <w:pPr>
              <w:jc w:val="center"/>
            </w:pPr>
          </w:p>
        </w:tc>
      </w:tr>
      <w:tr w14:paraId="47E77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73B6C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9003C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1C6B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4896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0AF3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E6C7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9349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9D00C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EA07C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8035F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346D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B27FF2">
            <w:pPr>
              <w:jc w:val="center"/>
            </w:pPr>
            <w:r>
              <w:t>952.38</w:t>
            </w:r>
          </w:p>
        </w:tc>
      </w:tr>
      <w:tr w14:paraId="66EFD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BF941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B670D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25AF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C2AB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D9DCCA">
            <w:pPr>
              <w:jc w:val="center"/>
            </w:pPr>
            <w:r>
              <w:t>17.71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AF9CBD">
            <w:pPr>
              <w:jc w:val="center"/>
            </w:pPr>
            <w:r>
              <w:t>2025.7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B78514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6536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750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8C4A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2291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26015B">
            <w:pPr>
              <w:jc w:val="center"/>
            </w:pPr>
          </w:p>
        </w:tc>
      </w:tr>
      <w:tr w14:paraId="3BDD4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ADEBA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B2F95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6557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C6AC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6A6E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510C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E3FA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0CB2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E70A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3312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3D20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6E449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550157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26CED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EC4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5C73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60887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E968A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6A850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600B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0162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B44B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4F0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296C2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5.72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2.75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15745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1323)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2517.27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743.83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DD0FAC1">
      <w:pPr>
        <w:pStyle w:val="4"/>
        <w:spacing w:line="240" w:lineRule="atLeast"/>
        <w:rPr>
          <w:kern w:val="2"/>
        </w:rPr>
      </w:pPr>
      <w:bookmarkStart w:id="80" w:name="_Toc23437"/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3AC7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A8F0C6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C9E99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C83C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1AA272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1744D2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F3D085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B1318E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3D72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B8346D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EFFCF9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A1F2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313F59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87C4FA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4521CB8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DFFFB2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4C7B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2C8BA9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1A7243E">
            <w:r>
              <w:t>20</w:t>
            </w:r>
          </w:p>
        </w:tc>
        <w:tc>
          <w:tcPr>
            <w:tcW w:w="1075" w:type="dxa"/>
            <w:vAlign w:val="center"/>
          </w:tcPr>
          <w:p w14:paraId="72C9DEE7">
            <w:r>
              <w:t>0.870</w:t>
            </w:r>
          </w:p>
        </w:tc>
        <w:tc>
          <w:tcPr>
            <w:tcW w:w="671" w:type="dxa"/>
            <w:vAlign w:val="center"/>
          </w:tcPr>
          <w:p w14:paraId="7E210342">
            <w:r>
              <w:t>1.00</w:t>
            </w:r>
          </w:p>
        </w:tc>
        <w:tc>
          <w:tcPr>
            <w:tcW w:w="992" w:type="dxa"/>
            <w:vAlign w:val="center"/>
          </w:tcPr>
          <w:p w14:paraId="75240678">
            <w:r>
              <w:t>1700.00</w:t>
            </w:r>
          </w:p>
        </w:tc>
        <w:tc>
          <w:tcPr>
            <w:tcW w:w="1559" w:type="dxa"/>
            <w:vAlign w:val="center"/>
          </w:tcPr>
          <w:p w14:paraId="0229E5C9">
            <w:r>
              <w:t>0.0975</w:t>
            </w:r>
          </w:p>
        </w:tc>
        <w:tc>
          <w:tcPr>
            <w:tcW w:w="993" w:type="dxa"/>
            <w:vAlign w:val="center"/>
          </w:tcPr>
          <w:p w14:paraId="480FCF9E">
            <w:r>
              <w:t>0.023</w:t>
            </w:r>
          </w:p>
        </w:tc>
      </w:tr>
      <w:tr w14:paraId="61BDB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4C0D2F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E678957">
            <w:r>
              <w:t>180</w:t>
            </w:r>
          </w:p>
        </w:tc>
        <w:tc>
          <w:tcPr>
            <w:tcW w:w="1075" w:type="dxa"/>
            <w:vAlign w:val="center"/>
          </w:tcPr>
          <w:p w14:paraId="3326866F">
            <w:r>
              <w:t>0.030</w:t>
            </w:r>
          </w:p>
        </w:tc>
        <w:tc>
          <w:tcPr>
            <w:tcW w:w="671" w:type="dxa"/>
            <w:vAlign w:val="center"/>
          </w:tcPr>
          <w:p w14:paraId="6BD334CB">
            <w:r>
              <w:t>1.10</w:t>
            </w:r>
          </w:p>
        </w:tc>
        <w:tc>
          <w:tcPr>
            <w:tcW w:w="992" w:type="dxa"/>
            <w:vAlign w:val="center"/>
          </w:tcPr>
          <w:p w14:paraId="28780126">
            <w:r>
              <w:t>28.50</w:t>
            </w:r>
          </w:p>
        </w:tc>
        <w:tc>
          <w:tcPr>
            <w:tcW w:w="1559" w:type="dxa"/>
            <w:vAlign w:val="center"/>
          </w:tcPr>
          <w:p w14:paraId="63AD6499">
            <w:r>
              <w:t>0.0162</w:t>
            </w:r>
          </w:p>
        </w:tc>
        <w:tc>
          <w:tcPr>
            <w:tcW w:w="993" w:type="dxa"/>
            <w:vAlign w:val="center"/>
          </w:tcPr>
          <w:p w14:paraId="2C2E9977">
            <w:r>
              <w:t>5.455</w:t>
            </w:r>
          </w:p>
        </w:tc>
      </w:tr>
      <w:tr w14:paraId="7194C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10ADC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99890F0">
            <w:r>
              <w:t>200</w:t>
            </w:r>
          </w:p>
        </w:tc>
        <w:tc>
          <w:tcPr>
            <w:tcW w:w="1075" w:type="dxa"/>
            <w:vAlign w:val="center"/>
          </w:tcPr>
          <w:p w14:paraId="7B18A608">
            <w:r>
              <w:t>0.870</w:t>
            </w:r>
          </w:p>
        </w:tc>
        <w:tc>
          <w:tcPr>
            <w:tcW w:w="671" w:type="dxa"/>
            <w:vAlign w:val="center"/>
          </w:tcPr>
          <w:p w14:paraId="6E169A25">
            <w:r>
              <w:t>1.00</w:t>
            </w:r>
          </w:p>
        </w:tc>
        <w:tc>
          <w:tcPr>
            <w:tcW w:w="992" w:type="dxa"/>
            <w:vAlign w:val="center"/>
          </w:tcPr>
          <w:p w14:paraId="5F8B382C">
            <w:r>
              <w:t>1700.00</w:t>
            </w:r>
          </w:p>
        </w:tc>
        <w:tc>
          <w:tcPr>
            <w:tcW w:w="1559" w:type="dxa"/>
            <w:vAlign w:val="center"/>
          </w:tcPr>
          <w:p w14:paraId="0209C899">
            <w:r>
              <w:t>0.0975</w:t>
            </w:r>
          </w:p>
        </w:tc>
        <w:tc>
          <w:tcPr>
            <w:tcW w:w="993" w:type="dxa"/>
            <w:vAlign w:val="center"/>
          </w:tcPr>
          <w:p w14:paraId="1656B9E5">
            <w:r>
              <w:t>0.230</w:t>
            </w:r>
          </w:p>
        </w:tc>
      </w:tr>
      <w:tr w14:paraId="1FBC5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CD5D4B">
            <w:r>
              <w:t>水泥砂浆</w:t>
            </w:r>
          </w:p>
        </w:tc>
        <w:tc>
          <w:tcPr>
            <w:tcW w:w="848" w:type="dxa"/>
            <w:vAlign w:val="center"/>
          </w:tcPr>
          <w:p w14:paraId="46B035BA">
            <w:r>
              <w:t>20</w:t>
            </w:r>
          </w:p>
        </w:tc>
        <w:tc>
          <w:tcPr>
            <w:tcW w:w="1075" w:type="dxa"/>
            <w:vAlign w:val="center"/>
          </w:tcPr>
          <w:p w14:paraId="3C5528B0">
            <w:r>
              <w:t>0.930</w:t>
            </w:r>
          </w:p>
        </w:tc>
        <w:tc>
          <w:tcPr>
            <w:tcW w:w="671" w:type="dxa"/>
            <w:vAlign w:val="center"/>
          </w:tcPr>
          <w:p w14:paraId="3488E789">
            <w:r>
              <w:t>1.00</w:t>
            </w:r>
          </w:p>
        </w:tc>
        <w:tc>
          <w:tcPr>
            <w:tcW w:w="992" w:type="dxa"/>
            <w:vAlign w:val="center"/>
          </w:tcPr>
          <w:p w14:paraId="3CAFA89F">
            <w:r>
              <w:t>1800.00</w:t>
            </w:r>
          </w:p>
        </w:tc>
        <w:tc>
          <w:tcPr>
            <w:tcW w:w="1559" w:type="dxa"/>
            <w:vAlign w:val="center"/>
          </w:tcPr>
          <w:p w14:paraId="7A347497">
            <w:r>
              <w:t>0.0210</w:t>
            </w:r>
          </w:p>
        </w:tc>
        <w:tc>
          <w:tcPr>
            <w:tcW w:w="993" w:type="dxa"/>
            <w:vAlign w:val="center"/>
          </w:tcPr>
          <w:p w14:paraId="30D80C4B">
            <w:r>
              <w:t>0.022</w:t>
            </w:r>
          </w:p>
        </w:tc>
      </w:tr>
    </w:tbl>
    <w:p w14:paraId="15A16FCF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CBB9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66CE13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E77CD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0159C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8664109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62B7F1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1B6A34B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C58BA9D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DB915C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55D5BA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651855B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8E9B42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7C9C23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FB96B2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A51A0C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9C1E82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0051C5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FA5540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743ED1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4AF16C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022C48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19E9CB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F14004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2D9EAA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96F6C7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7C1780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6446F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A53E04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D54E82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0E8AD7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69FC68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C431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AB785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74EBCA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CDAD5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DFAB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CA20C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5DB8A0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9B1FBD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57D7B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6863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318C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8A0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346BE">
            <w:pPr>
              <w:jc w:val="center"/>
            </w:pPr>
          </w:p>
        </w:tc>
      </w:tr>
      <w:tr w14:paraId="21E19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E9836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89F40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1925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12F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FA72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F31B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B31A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3FEF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5199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F947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645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29F0C1">
            <w:pPr>
              <w:jc w:val="center"/>
            </w:pPr>
            <w:r>
              <w:t>2.6667</w:t>
            </w:r>
          </w:p>
        </w:tc>
      </w:tr>
      <w:tr w14:paraId="1531C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B766D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6066A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909F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198F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DB79AC">
            <w:pPr>
              <w:jc w:val="center"/>
            </w:pPr>
            <w:r>
              <w:t>2.61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02B1D2">
            <w:pPr>
              <w:jc w:val="center"/>
            </w:pPr>
            <w:r>
              <w:t>737.0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DCF252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BE34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D27A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A98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5751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08C086">
            <w:pPr>
              <w:jc w:val="center"/>
            </w:pPr>
          </w:p>
        </w:tc>
      </w:tr>
      <w:tr w14:paraId="51078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D09AE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CACD96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8C08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6DC7B4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1B0C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990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1FE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7773E8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4EAC2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14DA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CDAC7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2FEBE2">
            <w:pPr>
              <w:jc w:val="center"/>
            </w:pPr>
            <w:r>
              <w:t>205.13</w:t>
            </w:r>
          </w:p>
        </w:tc>
      </w:tr>
      <w:tr w14:paraId="3D86E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F7D3B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001A9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FCFF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CA8C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0CF450">
            <w:pPr>
              <w:jc w:val="center"/>
            </w:pPr>
            <w:r>
              <w:t>2.68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EE20D7">
            <w:pPr>
              <w:jc w:val="center"/>
            </w:pPr>
            <w:r>
              <w:t>740.1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6B4EB5">
            <w:pPr>
              <w:jc w:val="center"/>
            </w:pPr>
            <w:r>
              <w:t>428.6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755C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7FFF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6EAD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3FF4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582CF">
            <w:pPr>
              <w:jc w:val="center"/>
            </w:pPr>
          </w:p>
        </w:tc>
      </w:tr>
      <w:tr w14:paraId="159BB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84AE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53CCDE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464524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63AC61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3B2A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6C9A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7A5C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8FA71B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91BD3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ACEBF3">
            <w:pPr>
              <w:jc w:val="center"/>
            </w:pPr>
            <w:r>
              <w:t>5.45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2165F7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CB1BC0">
            <w:pPr>
              <w:jc w:val="center"/>
            </w:pPr>
            <w:r>
              <w:t>11111.11</w:t>
            </w:r>
          </w:p>
        </w:tc>
      </w:tr>
      <w:tr w14:paraId="7C7D0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5F86C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EE5F5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8FF3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E7ACA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57795E">
            <w:pPr>
              <w:jc w:val="center"/>
            </w:pPr>
            <w:r>
              <w:t>17.05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20AE14">
            <w:pPr>
              <w:jc w:val="center"/>
            </w:pPr>
            <w:r>
              <w:t>1942.0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073A68">
            <w:pPr>
              <w:jc w:val="center"/>
            </w:pPr>
            <w:r>
              <w:t>1064.8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F22D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7028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2E74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9D9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ADBB47">
            <w:pPr>
              <w:jc w:val="center"/>
            </w:pPr>
          </w:p>
        </w:tc>
      </w:tr>
      <w:tr w14:paraId="02DBC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5A3BE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3328AE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07C31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B3EACC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AEE4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B564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7F0B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4E6667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E74F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A9C0CD">
            <w:pPr>
              <w:jc w:val="center"/>
            </w:pPr>
            <w:r>
              <w:t>0.23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5DAF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9E69C8">
            <w:pPr>
              <w:jc w:val="center"/>
            </w:pPr>
            <w:r>
              <w:t>2051.28</w:t>
            </w:r>
          </w:p>
        </w:tc>
      </w:tr>
      <w:tr w14:paraId="6C8E3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3DAB5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E975C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2F13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FB26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934B1E"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BABDE5">
            <w:pPr>
              <w:jc w:val="center"/>
            </w:pPr>
            <w:r>
              <w:t>2018.3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BB1643">
            <w:pPr>
              <w:jc w:val="center"/>
            </w:pPr>
            <w:r>
              <w:t>1182.2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51C6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BA33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7D6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47E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24910A">
            <w:pPr>
              <w:jc w:val="center"/>
            </w:pPr>
          </w:p>
        </w:tc>
      </w:tr>
      <w:tr w14:paraId="5E109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54ECB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EC5D6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4BA63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0032A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88EA9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0B75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B563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7584E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C79A7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B927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6FE9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DA1485">
            <w:pPr>
              <w:jc w:val="center"/>
            </w:pPr>
            <w:r>
              <w:t>952.38</w:t>
            </w:r>
          </w:p>
        </w:tc>
      </w:tr>
      <w:tr w14:paraId="54D50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816B3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5B54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8882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6F85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9BA42D">
            <w:pPr>
              <w:jc w:val="center"/>
            </w:pPr>
            <w:r>
              <w:t>17.71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7DA07C">
            <w:pPr>
              <w:jc w:val="center"/>
            </w:pPr>
            <w:r>
              <w:t>2025.5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875C80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9BE1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826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EDE6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835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1AC4EF">
            <w:pPr>
              <w:jc w:val="center"/>
            </w:pPr>
          </w:p>
        </w:tc>
      </w:tr>
      <w:tr w14:paraId="26307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3527E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A0924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A735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DC9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3761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99DC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4DE6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EECD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EC06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DECB2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96C3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DD7707">
            <w:pPr>
              <w:jc w:val="center"/>
            </w:pPr>
            <w:r>
              <w:t>7.9808</w:t>
            </w:r>
          </w:p>
        </w:tc>
      </w:tr>
      <w:tr w14:paraId="4697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3E936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33C92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EAA8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5DD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AF42A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B5E64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57022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DFF0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BF30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C7AC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6F37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A25869">
            <w:pPr>
              <w:jc w:val="center"/>
            </w:pPr>
          </w:p>
        </w:tc>
      </w:tr>
    </w:tbl>
    <w:p w14:paraId="1B0F328E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F7F6014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5.71</w:t>
      </w:r>
    </w:p>
    <w:p w14:paraId="3E82FD3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35CE427B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3BC915C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2.67</w:t>
      </w:r>
    </w:p>
    <w:p w14:paraId="42CC671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CD1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FA19C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45FFC1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5D26CE">
            <w:pPr>
              <w:jc w:val="center"/>
            </w:pPr>
            <w:r>
              <w:rPr>
                <w:rFonts w:hint="eastAsia"/>
              </w:rPr>
              <w:t>14115</w:t>
            </w:r>
          </w:p>
        </w:tc>
        <w:tc>
          <w:tcPr>
            <w:tcW w:w="2678" w:type="dxa"/>
            <w:vAlign w:val="center"/>
          </w:tcPr>
          <w:p w14:paraId="7B539DA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274)</w:t>
            </w:r>
          </w:p>
        </w:tc>
      </w:tr>
      <w:tr w14:paraId="20B9E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6C077F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1C489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A0FEEB2">
            <w:pPr>
              <w:jc w:val="center"/>
            </w:pPr>
            <w:r>
              <w:rPr>
                <w:rFonts w:hint="eastAsia"/>
              </w:rPr>
              <w:t>205.13</w:t>
            </w:r>
          </w:p>
        </w:tc>
        <w:tc>
          <w:tcPr>
            <w:tcW w:w="2678" w:type="dxa"/>
            <w:vAlign w:val="center"/>
          </w:tcPr>
          <w:p w14:paraId="5632A443"/>
        </w:tc>
      </w:tr>
      <w:tr w14:paraId="3269E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248FE57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A1D152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F84BDDC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2BFCE2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CAD7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A82A9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90D732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2024F37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24ABDAB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8E36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38323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29EE8A6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24A4FA8">
            <w:pPr>
              <w:jc w:val="center"/>
            </w:pPr>
            <w:r>
              <w:rPr>
                <w:rFonts w:hint="eastAsia"/>
              </w:rPr>
              <w:t>739.64</w:t>
            </w:r>
          </w:p>
        </w:tc>
        <w:tc>
          <w:tcPr>
            <w:tcW w:w="2678" w:type="dxa"/>
            <w:vAlign w:val="center"/>
          </w:tcPr>
          <w:p w14:paraId="2800DA6F"/>
        </w:tc>
      </w:tr>
      <w:tr w14:paraId="533E9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6F7147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A218196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1E1DFD2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5C9805FE"/>
        </w:tc>
      </w:tr>
      <w:tr w14:paraId="194B8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BA741D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D9C6C35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FC71F2B">
            <w:pPr>
              <w:jc w:val="center"/>
            </w:pPr>
            <w:r>
              <w:rPr>
                <w:rFonts w:hint="eastAsia"/>
              </w:rPr>
              <w:t>0.18</w:t>
            </w:r>
          </w:p>
        </w:tc>
        <w:tc>
          <w:tcPr>
            <w:tcW w:w="2678" w:type="dxa"/>
            <w:vAlign w:val="center"/>
          </w:tcPr>
          <w:p w14:paraId="78EB4D3E"/>
        </w:tc>
      </w:tr>
      <w:tr w14:paraId="2D2AC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7B1D51F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3D6859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F7BBF7A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F8917B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0756B9B">
      <w:pPr>
        <w:widowControl/>
        <w:jc w:val="left"/>
      </w:pPr>
    </w:p>
    <w:p w14:paraId="6CF4A294">
      <w:pPr>
        <w:pStyle w:val="4"/>
        <w:spacing w:line="240" w:lineRule="atLeast"/>
        <w:rPr>
          <w:kern w:val="2"/>
        </w:rPr>
      </w:pPr>
      <w:bookmarkStart w:id="81" w:name="_Toc3478"/>
      <w:r>
        <w:rPr>
          <w:rFonts w:hint="eastAsia"/>
          <w:kern w:val="2"/>
        </w:rPr>
        <w:t>阳台隔墙</w:t>
      </w:r>
      <w:bookmarkEnd w:id="62"/>
      <w:r>
        <w:rPr>
          <w:rFonts w:hint="eastAsia"/>
          <w:kern w:val="2"/>
        </w:rPr>
        <w:t>构造：阳台隔墙构造一砼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48B5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D0C37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BBC67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3867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633860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A39E53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92D604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10C7A8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A9B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E8783F8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1F843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854D7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6F3613D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A91045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798E8F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78436F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BB4E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0DA603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695CB0D">
            <w:r>
              <w:t>20</w:t>
            </w:r>
          </w:p>
        </w:tc>
        <w:tc>
          <w:tcPr>
            <w:tcW w:w="1075" w:type="dxa"/>
            <w:vAlign w:val="center"/>
          </w:tcPr>
          <w:p w14:paraId="3D7785F3">
            <w:r>
              <w:t>0.870</w:t>
            </w:r>
          </w:p>
        </w:tc>
        <w:tc>
          <w:tcPr>
            <w:tcW w:w="671" w:type="dxa"/>
            <w:vAlign w:val="center"/>
          </w:tcPr>
          <w:p w14:paraId="545B4043">
            <w:r>
              <w:t>1.00</w:t>
            </w:r>
          </w:p>
        </w:tc>
        <w:tc>
          <w:tcPr>
            <w:tcW w:w="992" w:type="dxa"/>
            <w:vAlign w:val="center"/>
          </w:tcPr>
          <w:p w14:paraId="7D25466E">
            <w:r>
              <w:t>1700.00</w:t>
            </w:r>
          </w:p>
        </w:tc>
        <w:tc>
          <w:tcPr>
            <w:tcW w:w="1559" w:type="dxa"/>
            <w:vAlign w:val="center"/>
          </w:tcPr>
          <w:p w14:paraId="74A08331">
            <w:r>
              <w:t>0.0975</w:t>
            </w:r>
          </w:p>
        </w:tc>
        <w:tc>
          <w:tcPr>
            <w:tcW w:w="993" w:type="dxa"/>
            <w:vAlign w:val="center"/>
          </w:tcPr>
          <w:p w14:paraId="3CFF212A">
            <w:r>
              <w:t>0.023</w:t>
            </w:r>
          </w:p>
        </w:tc>
      </w:tr>
      <w:tr w14:paraId="2963A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E7B43A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1B150FBF">
            <w:r>
              <w:t>180</w:t>
            </w:r>
          </w:p>
        </w:tc>
        <w:tc>
          <w:tcPr>
            <w:tcW w:w="1075" w:type="dxa"/>
            <w:vAlign w:val="center"/>
          </w:tcPr>
          <w:p w14:paraId="0EB86309">
            <w:r>
              <w:t>0.030</w:t>
            </w:r>
          </w:p>
        </w:tc>
        <w:tc>
          <w:tcPr>
            <w:tcW w:w="671" w:type="dxa"/>
            <w:vAlign w:val="center"/>
          </w:tcPr>
          <w:p w14:paraId="4376B299">
            <w:r>
              <w:t>1.10</w:t>
            </w:r>
          </w:p>
        </w:tc>
        <w:tc>
          <w:tcPr>
            <w:tcW w:w="992" w:type="dxa"/>
            <w:vAlign w:val="center"/>
          </w:tcPr>
          <w:p w14:paraId="7EAF3555">
            <w:r>
              <w:t>28.50</w:t>
            </w:r>
          </w:p>
        </w:tc>
        <w:tc>
          <w:tcPr>
            <w:tcW w:w="1559" w:type="dxa"/>
            <w:vAlign w:val="center"/>
          </w:tcPr>
          <w:p w14:paraId="57298E87">
            <w:r>
              <w:t>0.0162</w:t>
            </w:r>
          </w:p>
        </w:tc>
        <w:tc>
          <w:tcPr>
            <w:tcW w:w="993" w:type="dxa"/>
            <w:vAlign w:val="center"/>
          </w:tcPr>
          <w:p w14:paraId="5AB0490C">
            <w:r>
              <w:t>5.455</w:t>
            </w:r>
          </w:p>
        </w:tc>
      </w:tr>
      <w:tr w14:paraId="12E47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105A21">
            <w:r>
              <w:t>碎石、卵石混凝土(ρ=2100)</w:t>
            </w:r>
          </w:p>
        </w:tc>
        <w:tc>
          <w:tcPr>
            <w:tcW w:w="848" w:type="dxa"/>
            <w:vAlign w:val="center"/>
          </w:tcPr>
          <w:p w14:paraId="3D013B72">
            <w:r>
              <w:t>200</w:t>
            </w:r>
          </w:p>
        </w:tc>
        <w:tc>
          <w:tcPr>
            <w:tcW w:w="1075" w:type="dxa"/>
            <w:vAlign w:val="center"/>
          </w:tcPr>
          <w:p w14:paraId="1A33224F">
            <w:r>
              <w:t>1.280</w:t>
            </w:r>
          </w:p>
        </w:tc>
        <w:tc>
          <w:tcPr>
            <w:tcW w:w="671" w:type="dxa"/>
            <w:vAlign w:val="center"/>
          </w:tcPr>
          <w:p w14:paraId="52BC8622">
            <w:r>
              <w:t>1.00</w:t>
            </w:r>
          </w:p>
        </w:tc>
        <w:tc>
          <w:tcPr>
            <w:tcW w:w="992" w:type="dxa"/>
            <w:vAlign w:val="center"/>
          </w:tcPr>
          <w:p w14:paraId="4BF64FC8">
            <w:r>
              <w:t>2100.00</w:t>
            </w:r>
          </w:p>
        </w:tc>
        <w:tc>
          <w:tcPr>
            <w:tcW w:w="1559" w:type="dxa"/>
            <w:vAlign w:val="center"/>
          </w:tcPr>
          <w:p w14:paraId="10861F91">
            <w:r>
              <w:t>0.0173</w:t>
            </w:r>
          </w:p>
        </w:tc>
        <w:tc>
          <w:tcPr>
            <w:tcW w:w="993" w:type="dxa"/>
            <w:vAlign w:val="center"/>
          </w:tcPr>
          <w:p w14:paraId="1455EAF8">
            <w:r>
              <w:t>0.156</w:t>
            </w:r>
          </w:p>
        </w:tc>
      </w:tr>
      <w:tr w14:paraId="5B432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07AA16">
            <w:r>
              <w:t>水泥砂浆</w:t>
            </w:r>
          </w:p>
        </w:tc>
        <w:tc>
          <w:tcPr>
            <w:tcW w:w="848" w:type="dxa"/>
            <w:vAlign w:val="center"/>
          </w:tcPr>
          <w:p w14:paraId="26DE3865">
            <w:r>
              <w:t>20</w:t>
            </w:r>
          </w:p>
        </w:tc>
        <w:tc>
          <w:tcPr>
            <w:tcW w:w="1075" w:type="dxa"/>
            <w:vAlign w:val="center"/>
          </w:tcPr>
          <w:p w14:paraId="40E7557D">
            <w:r>
              <w:t>0.930</w:t>
            </w:r>
          </w:p>
        </w:tc>
        <w:tc>
          <w:tcPr>
            <w:tcW w:w="671" w:type="dxa"/>
            <w:vAlign w:val="center"/>
          </w:tcPr>
          <w:p w14:paraId="12C3A354">
            <w:r>
              <w:t>1.00</w:t>
            </w:r>
          </w:p>
        </w:tc>
        <w:tc>
          <w:tcPr>
            <w:tcW w:w="992" w:type="dxa"/>
            <w:vAlign w:val="center"/>
          </w:tcPr>
          <w:p w14:paraId="26751ACD">
            <w:r>
              <w:t>1800.00</w:t>
            </w:r>
          </w:p>
        </w:tc>
        <w:tc>
          <w:tcPr>
            <w:tcW w:w="1559" w:type="dxa"/>
            <w:vAlign w:val="center"/>
          </w:tcPr>
          <w:p w14:paraId="2801EE76">
            <w:r>
              <w:t>0.0210</w:t>
            </w:r>
          </w:p>
        </w:tc>
        <w:tc>
          <w:tcPr>
            <w:tcW w:w="993" w:type="dxa"/>
            <w:vAlign w:val="center"/>
          </w:tcPr>
          <w:p w14:paraId="311B8980">
            <w:r>
              <w:t>0.022</w:t>
            </w:r>
          </w:p>
        </w:tc>
      </w:tr>
      <w:bookmarkEnd w:id="66"/>
    </w:tbl>
    <w:p w14:paraId="216FE42A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C03D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36065F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B876C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CE4090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89C23F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8BBAC5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152C0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741167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612268D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D703C1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43A4767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301EE2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0EC74D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28AABE7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F1436D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0B2062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6EB778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DDCA57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26F709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739F4E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208AEA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393458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FED974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018906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9FC64A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08502C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C0802B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BF1CA5A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E40AE67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0FEA487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1502C2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B423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A11D44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A7396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1033A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6018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CFC367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D59D01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D5227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24BE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89C8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8BB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C397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3E3739">
            <w:pPr>
              <w:jc w:val="center"/>
            </w:pPr>
          </w:p>
        </w:tc>
      </w:tr>
      <w:tr w14:paraId="5B059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9F878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89CA5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CE59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C99E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5D36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4FF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42BB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D15D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C823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D1A4F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D5D6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A0FB5B">
            <w:pPr>
              <w:jc w:val="center"/>
            </w:pPr>
            <w:r>
              <w:t>2.6667</w:t>
            </w:r>
          </w:p>
        </w:tc>
      </w:tr>
      <w:tr w14:paraId="40AB5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64D19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D6D82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017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76B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C4BE07">
            <w:pPr>
              <w:jc w:val="center"/>
            </w:pPr>
            <w:r>
              <w:t>2.63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54F4A">
            <w:pPr>
              <w:jc w:val="center"/>
            </w:pPr>
            <w:r>
              <w:t>737.7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496255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C240D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DC64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5F24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9BA4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719CBD">
            <w:pPr>
              <w:jc w:val="center"/>
            </w:pPr>
          </w:p>
        </w:tc>
      </w:tr>
      <w:tr w14:paraId="603B4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1F72E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31474D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9A793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731CF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FFA3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E8B0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9C50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B653B2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FFA57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6EF0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80F1D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37D865">
            <w:pPr>
              <w:jc w:val="center"/>
            </w:pPr>
            <w:r>
              <w:t>205.13</w:t>
            </w:r>
          </w:p>
        </w:tc>
      </w:tr>
      <w:tr w14:paraId="2944E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B01E5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2681E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EFC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7E4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BF3E6C"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89FB17">
            <w:pPr>
              <w:jc w:val="center"/>
            </w:pPr>
            <w:r>
              <w:t>740.9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FC0249">
            <w:pPr>
              <w:jc w:val="center"/>
            </w:pPr>
            <w:r>
              <w:t>423.8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1312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0F4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D1CE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F78C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CDE838">
            <w:pPr>
              <w:jc w:val="center"/>
            </w:pPr>
          </w:p>
        </w:tc>
      </w:tr>
      <w:tr w14:paraId="7AACD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D22B2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664571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166C2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C93D56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C957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4BBE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EBE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B4DFC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27AD7D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DCBF8">
            <w:pPr>
              <w:jc w:val="center"/>
            </w:pPr>
            <w:r>
              <w:t>5.45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FDB753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DCB3F1">
            <w:pPr>
              <w:jc w:val="center"/>
            </w:pPr>
            <w:r>
              <w:t>11111.11</w:t>
            </w:r>
          </w:p>
        </w:tc>
      </w:tr>
      <w:tr w14:paraId="5D6FA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5FF08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EF3DA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28CF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ECE65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727935">
            <w:pPr>
              <w:jc w:val="center"/>
            </w:pPr>
            <w:r>
              <w:t>17.23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BED76E">
            <w:pPr>
              <w:jc w:val="center"/>
            </w:pPr>
            <w:r>
              <w:t>1965.3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308D8F">
            <w:pPr>
              <w:jc w:val="center"/>
            </w:pPr>
            <w:r>
              <w:t>806.2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58D0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1F4B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4BA7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0F9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D39EE4">
            <w:pPr>
              <w:jc w:val="center"/>
            </w:pPr>
          </w:p>
        </w:tc>
      </w:tr>
      <w:tr w14:paraId="6EFE0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565AE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67065D">
            <w:pPr>
              <w:jc w:val="center"/>
            </w:pPr>
            <w:r>
              <w:t>碎石、卵石混凝土(ρ=2100)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D3516E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ECDCA0">
            <w:pPr>
              <w:jc w:val="center"/>
            </w:pPr>
            <w:r>
              <w:t>2100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6011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6FF2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21F1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886BE8">
            <w:pPr>
              <w:jc w:val="center"/>
            </w:pPr>
            <w:r>
              <w:t>1.28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B296E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3C5567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AAB8C8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ACC9D1">
            <w:pPr>
              <w:jc w:val="center"/>
            </w:pPr>
            <w:r>
              <w:t>11560.69</w:t>
            </w:r>
          </w:p>
        </w:tc>
      </w:tr>
      <w:tr w14:paraId="0BF69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449B9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9AA08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FB1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6821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48F2C7"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D84C6B">
            <w:pPr>
              <w:jc w:val="center"/>
            </w:pPr>
            <w:r>
              <w:t>2017.8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C5B114">
            <w:pPr>
              <w:jc w:val="center"/>
            </w:pPr>
            <w:r>
              <w:t>1204.1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141F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69AB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A5F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B6AC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A1670D">
            <w:pPr>
              <w:jc w:val="center"/>
            </w:pPr>
          </w:p>
        </w:tc>
      </w:tr>
      <w:tr w14:paraId="5662F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E4477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3C499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92EA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0F3C2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CAA7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4C91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0698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37BD5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8CC2F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683E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DA78F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6BBB53">
            <w:pPr>
              <w:jc w:val="center"/>
            </w:pPr>
            <w:r>
              <w:t>952.38</w:t>
            </w:r>
          </w:p>
        </w:tc>
      </w:tr>
      <w:tr w14:paraId="7086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15C51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73A9D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A9C7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24F6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FAC34D">
            <w:pPr>
              <w:jc w:val="center"/>
            </w:pPr>
            <w:r>
              <w:t>17.71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0CD797">
            <w:pPr>
              <w:jc w:val="center"/>
            </w:pPr>
            <w:r>
              <w:t>2025.0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677ECE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4F8A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6A0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DA29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0230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A2B0A1">
            <w:pPr>
              <w:jc w:val="center"/>
            </w:pPr>
          </w:p>
        </w:tc>
      </w:tr>
      <w:tr w14:paraId="0A29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4F25B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B31FA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D6F1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2B1C5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2BDF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EB6B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656A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264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600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1510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B671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CF32B7">
            <w:pPr>
              <w:jc w:val="center"/>
            </w:pPr>
            <w:r>
              <w:t>7.9808</w:t>
            </w:r>
          </w:p>
        </w:tc>
      </w:tr>
      <w:tr w14:paraId="59696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ED4AC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A8637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81EB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FC97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366527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46DCF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0B56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8BF0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8B22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58A4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890C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0531B1">
            <w:pPr>
              <w:jc w:val="center"/>
            </w:pPr>
          </w:p>
        </w:tc>
      </w:tr>
      <w:bookmarkEnd w:id="67"/>
    </w:tbl>
    <w:p w14:paraId="2FB4CDC7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5A07061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5.63</w:t>
      </w:r>
      <w:bookmarkEnd w:id="68"/>
    </w:p>
    <w:p w14:paraId="504A2E0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22B0244B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D8508A9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2.67</w:t>
      </w:r>
      <w:bookmarkEnd w:id="69"/>
    </w:p>
    <w:p w14:paraId="528AE6A0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3056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1E4A02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7BCF0CA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728626A">
            <w:pPr>
              <w:jc w:val="center"/>
            </w:pPr>
            <w:r>
              <w:rPr>
                <w:rFonts w:hint="eastAsia"/>
              </w:rPr>
              <w:t>23624</w:t>
            </w:r>
            <w:bookmarkEnd w:id="70"/>
          </w:p>
        </w:tc>
        <w:tc>
          <w:tcPr>
            <w:tcW w:w="2678" w:type="dxa"/>
            <w:vAlign w:val="center"/>
          </w:tcPr>
          <w:p w14:paraId="1D2E85D2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274</w:t>
            </w:r>
            <w:bookmarkEnd w:id="71"/>
            <w:r>
              <w:t>)</w:t>
            </w:r>
          </w:p>
        </w:tc>
      </w:tr>
      <w:tr w14:paraId="151A1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70357F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F3FE53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0CE4DD0">
            <w:pPr>
              <w:jc w:val="center"/>
            </w:pPr>
            <w:r>
              <w:rPr>
                <w:rFonts w:hint="eastAsia"/>
              </w:rPr>
              <w:t>205.13</w:t>
            </w:r>
            <w:bookmarkEnd w:id="72"/>
          </w:p>
        </w:tc>
        <w:tc>
          <w:tcPr>
            <w:tcW w:w="2678" w:type="dxa"/>
            <w:vAlign w:val="center"/>
          </w:tcPr>
          <w:p w14:paraId="6970723F"/>
        </w:tc>
      </w:tr>
      <w:tr w14:paraId="5AEFB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7CFDCD5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2C4127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DD4F3D5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43169B3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8016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C4FD93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56CF76A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F4F8E46"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 w14:paraId="2FE408B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BE3F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01E22D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FA49474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C4D8F6A">
            <w:pPr>
              <w:jc w:val="center"/>
            </w:pPr>
            <w:r>
              <w:rPr>
                <w:rFonts w:hint="eastAsia"/>
              </w:rPr>
              <w:t>739.75</w:t>
            </w:r>
            <w:bookmarkEnd w:id="75"/>
          </w:p>
        </w:tc>
        <w:tc>
          <w:tcPr>
            <w:tcW w:w="2678" w:type="dxa"/>
            <w:vAlign w:val="center"/>
          </w:tcPr>
          <w:p w14:paraId="1D957FDC"/>
        </w:tc>
      </w:tr>
      <w:tr w14:paraId="1BA79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63A9AD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5A394D6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76A4C9B">
            <w:pPr>
              <w:jc w:val="center"/>
            </w:pPr>
            <w:r>
              <w:rPr>
                <w:rFonts w:hint="eastAsia"/>
              </w:rPr>
              <w:t>28.50</w:t>
            </w:r>
            <w:bookmarkEnd w:id="76"/>
          </w:p>
        </w:tc>
        <w:tc>
          <w:tcPr>
            <w:tcW w:w="2678" w:type="dxa"/>
            <w:vAlign w:val="center"/>
          </w:tcPr>
          <w:p w14:paraId="0A6FA1B6"/>
        </w:tc>
      </w:tr>
      <w:tr w14:paraId="011D6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3D2F7B8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75B4965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8386B4F">
            <w:pPr>
              <w:jc w:val="center"/>
            </w:pPr>
            <w:r>
              <w:rPr>
                <w:rFonts w:hint="eastAsia"/>
              </w:rPr>
              <w:t>0.18</w:t>
            </w:r>
            <w:bookmarkEnd w:id="77"/>
          </w:p>
        </w:tc>
        <w:tc>
          <w:tcPr>
            <w:tcW w:w="2678" w:type="dxa"/>
            <w:vAlign w:val="center"/>
          </w:tcPr>
          <w:p w14:paraId="30A67DC9"/>
        </w:tc>
      </w:tr>
      <w:tr w14:paraId="41D6C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737583D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5FCE64E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7807585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15B91B0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6E148960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26080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6BD7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4F58DB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8C06DE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8EDD1DD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AD2CF6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09A37CD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65E0A5F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56295DD">
            <w:r>
              <w:t>结论</w:t>
            </w:r>
          </w:p>
        </w:tc>
      </w:tr>
      <w:tr w14:paraId="3B7B7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BD75F">
            <w:r>
              <w:t>屋顶</w:t>
            </w:r>
          </w:p>
        </w:tc>
        <w:tc>
          <w:tcPr>
            <w:vAlign w:val="center"/>
          </w:tcPr>
          <w:p w14:paraId="283E5C9B">
            <w:r>
              <w:t>屋顶构造一</w:t>
            </w:r>
          </w:p>
        </w:tc>
        <w:tc>
          <w:tcPr>
            <w:vAlign w:val="center"/>
          </w:tcPr>
          <w:p w14:paraId="206B62A8">
            <w:r>
              <w:t>10</w:t>
            </w:r>
          </w:p>
        </w:tc>
        <w:tc>
          <w:tcPr>
            <w:vAlign w:val="center"/>
          </w:tcPr>
          <w:p w14:paraId="0B0372DD">
            <w:r>
              <w:t>0</w:t>
            </w:r>
          </w:p>
        </w:tc>
        <w:tc>
          <w:tcPr>
            <w:vAlign w:val="center"/>
          </w:tcPr>
          <w:p w14:paraId="2D5F5886">
            <w:r>
              <w:t>1323</w:t>
            </w:r>
          </w:p>
        </w:tc>
        <w:tc>
          <w:tcPr>
            <w:vAlign w:val="center"/>
          </w:tcPr>
          <w:p w14:paraId="3D5867E2">
            <w:r>
              <w:t>15745</w:t>
            </w:r>
          </w:p>
        </w:tc>
        <w:tc>
          <w:tcPr>
            <w:vAlign w:val="center"/>
          </w:tcPr>
          <w:p w14:paraId="4A5A8972">
            <w:r>
              <w:t>满足</w:t>
            </w:r>
          </w:p>
        </w:tc>
      </w:tr>
      <w:tr w14:paraId="36196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87147">
            <w:r>
              <w:t>外墙（填充墙）</w:t>
            </w:r>
          </w:p>
        </w:tc>
        <w:tc>
          <w:tcPr>
            <w:vAlign w:val="center"/>
          </w:tcPr>
          <w:p w14:paraId="150135B1">
            <w:r>
              <w:t>外墙构造一</w:t>
            </w:r>
          </w:p>
        </w:tc>
        <w:tc>
          <w:tcPr>
            <w:vAlign w:val="center"/>
          </w:tcPr>
          <w:p w14:paraId="3070077F">
            <w:r>
              <w:t>10</w:t>
            </w:r>
          </w:p>
        </w:tc>
        <w:tc>
          <w:tcPr>
            <w:vAlign w:val="center"/>
          </w:tcPr>
          <w:p w14:paraId="6901A1FC">
            <w:r>
              <w:t>0</w:t>
            </w:r>
          </w:p>
        </w:tc>
        <w:tc>
          <w:tcPr>
            <w:vAlign w:val="center"/>
          </w:tcPr>
          <w:p w14:paraId="33FC5156">
            <w:r>
              <w:t>274</w:t>
            </w:r>
          </w:p>
        </w:tc>
        <w:tc>
          <w:tcPr>
            <w:vAlign w:val="center"/>
          </w:tcPr>
          <w:p w14:paraId="519FB95B">
            <w:r>
              <w:t>14115</w:t>
            </w:r>
          </w:p>
        </w:tc>
        <w:tc>
          <w:tcPr>
            <w:vAlign w:val="center"/>
          </w:tcPr>
          <w:p w14:paraId="35BCAB34">
            <w:r>
              <w:t>满足</w:t>
            </w:r>
          </w:p>
        </w:tc>
      </w:tr>
      <w:tr w14:paraId="38B6F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BA000">
            <w:r>
              <w:t>阳台隔墙</w:t>
            </w:r>
          </w:p>
        </w:tc>
        <w:tc>
          <w:tcPr>
            <w:vAlign w:val="center"/>
          </w:tcPr>
          <w:p w14:paraId="3E4A9594">
            <w:r>
              <w:t>阳台隔墙构造一</w:t>
            </w:r>
          </w:p>
        </w:tc>
        <w:tc>
          <w:tcPr>
            <w:vAlign w:val="center"/>
          </w:tcPr>
          <w:p w14:paraId="0ACDC6A7">
            <w:r>
              <w:t>10</w:t>
            </w:r>
          </w:p>
        </w:tc>
        <w:tc>
          <w:tcPr>
            <w:vAlign w:val="center"/>
          </w:tcPr>
          <w:p w14:paraId="6CBCC54F">
            <w:r>
              <w:t>0</w:t>
            </w:r>
          </w:p>
        </w:tc>
        <w:tc>
          <w:tcPr>
            <w:vAlign w:val="center"/>
          </w:tcPr>
          <w:p w14:paraId="5CD30DB4">
            <w:r>
              <w:t>274</w:t>
            </w:r>
          </w:p>
        </w:tc>
        <w:tc>
          <w:tcPr>
            <w:vAlign w:val="center"/>
          </w:tcPr>
          <w:p w14:paraId="6C1870BB">
            <w:r>
              <w:t>23624</w:t>
            </w:r>
          </w:p>
        </w:tc>
        <w:tc>
          <w:tcPr>
            <w:vAlign w:val="center"/>
          </w:tcPr>
          <w:p w14:paraId="234601F0">
            <w:r>
              <w:t>满足</w:t>
            </w:r>
          </w:p>
        </w:tc>
      </w:tr>
    </w:tbl>
    <w:p w14:paraId="4D79C4A3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8A0CC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B8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Pages>10</Pages>
  <Words>2954</Words>
  <Characters>4836</Characters>
  <Lines>33</Lines>
  <Paragraphs>9</Paragraphs>
  <TotalTime>0</TotalTime>
  <ScaleCrop>false</ScaleCrop>
  <LinksUpToDate>false</LinksUpToDate>
  <CharactersWithSpaces>5472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2024-12-29T17:42:00Z</dcterms:created>
  <dc:creator>倩(*^ω^*)</dc:creator>
  <cp:lastModifiedBy>倩(*^ω^*)</cp:lastModifiedBy>
  <dcterms:modified xsi:type="dcterms:W3CDTF">2024-12-29T17:43:57Z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F5C15A3562D74BC7ADC73F2A9815DA4B_11</vt:lpwstr>
  </property>
  <property fmtid="{D5CDD505-2E9C-101B-9397-08002B2CF9AE}" pid="4" name="KSOTemplateDocerSaveRecord">
    <vt:lpwstr>eyJoZGlkIjoiNTg5NmFmNWU1ZjAyOGJkMjVhYzQ0OTJiYjQ1ZWE4OWQiLCJ1c2VySWQiOiIxMjgyMDkzNDY4In0=</vt:lpwstr>
  </property>
  <property fmtid="{D5CDD505-2E9C-101B-9397-08002B2CF9AE}" pid="5" name="KSOProductBuildVer">
    <vt:lpwstr>2052-12.1.0.19302</vt:lpwstr>
  </property>
</Properties>
</file>