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bookmarkStart w:id="59" w:name="_GoBack"/>
      <w:bookmarkEnd w:id="59"/>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高层建筑</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2024年12月24日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T13393548672</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_Toc29776 </w:instrText>
      </w:r>
      <w:r>
        <w:rPr>
          <w:rFonts w:ascii="宋体" w:hAnsi="宋体"/>
          <w:caps/>
        </w:rPr>
        <w:fldChar w:fldCharType="separate"/>
      </w:r>
      <w:r>
        <w:t xml:space="preserve">1 </w:t>
      </w:r>
      <w:r>
        <w:rPr>
          <w:rFonts w:hint="eastAsia"/>
        </w:rPr>
        <w:t>建筑概况</w:t>
      </w:r>
      <w:r>
        <w:tab/>
      </w:r>
      <w:r>
        <w:fldChar w:fldCharType="begin"/>
      </w:r>
      <w:r>
        <w:instrText xml:space="preserve"> PAGEREF _Toc29776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_Toc3196 </w:instrText>
      </w:r>
      <w:r>
        <w:fldChar w:fldCharType="separate"/>
      </w:r>
      <w:r>
        <w:t xml:space="preserve">2 </w:t>
      </w:r>
      <w:r>
        <w:rPr>
          <w:rFonts w:hint="eastAsia"/>
        </w:rPr>
        <w:t>评价依据</w:t>
      </w:r>
      <w:r>
        <w:tab/>
      </w:r>
      <w:r>
        <w:fldChar w:fldCharType="begin"/>
      </w:r>
      <w:r>
        <w:instrText xml:space="preserve"> PAGEREF _Toc3196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_Toc5808 </w:instrText>
      </w:r>
      <w:r>
        <w:fldChar w:fldCharType="separate"/>
      </w:r>
      <w:r>
        <w:t xml:space="preserve">3 </w:t>
      </w:r>
      <w:r>
        <w:rPr>
          <w:rFonts w:hint="eastAsia"/>
        </w:rPr>
        <w:t>标准</w:t>
      </w:r>
      <w:r>
        <w:t>要求</w:t>
      </w:r>
      <w:r>
        <w:tab/>
      </w:r>
      <w:r>
        <w:fldChar w:fldCharType="begin"/>
      </w:r>
      <w:r>
        <w:instrText xml:space="preserve"> PAGEREF _Toc5808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_Toc1177 </w:instrText>
      </w:r>
      <w:r>
        <w:fldChar w:fldCharType="separate"/>
      </w:r>
      <w:r>
        <w:rPr>
          <w:kern w:val="2"/>
        </w:rPr>
        <w:t xml:space="preserve">4 </w:t>
      </w:r>
      <w:r>
        <w:rPr>
          <w:rFonts w:hint="eastAsia"/>
          <w:kern w:val="2"/>
        </w:rPr>
        <w:t>隔声理论概述</w:t>
      </w:r>
      <w:r>
        <w:tab/>
      </w:r>
      <w:r>
        <w:fldChar w:fldCharType="begin"/>
      </w:r>
      <w:r>
        <w:instrText xml:space="preserve"> PAGEREF _Toc1177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_Toc18242 </w:instrText>
      </w:r>
      <w:r>
        <w:fldChar w:fldCharType="separate"/>
      </w:r>
      <w:r>
        <w:t xml:space="preserve">4.1 </w:t>
      </w:r>
      <w:r>
        <w:rPr>
          <w:rFonts w:hint="eastAsia"/>
        </w:rPr>
        <w:t>原理概要</w:t>
      </w:r>
      <w:r>
        <w:tab/>
      </w:r>
      <w:r>
        <w:fldChar w:fldCharType="begin"/>
      </w:r>
      <w:r>
        <w:instrText xml:space="preserve"> PAGEREF _Toc18242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_Toc1097 </w:instrText>
      </w:r>
      <w:r>
        <w:fldChar w:fldCharType="separate"/>
      </w:r>
      <w:r>
        <w:t xml:space="preserve">4.2 </w:t>
      </w:r>
      <w:r>
        <w:rPr>
          <w:rFonts w:hint="eastAsia"/>
        </w:rPr>
        <w:t>质量定律</w:t>
      </w:r>
      <w:r>
        <w:tab/>
      </w:r>
      <w:r>
        <w:fldChar w:fldCharType="begin"/>
      </w:r>
      <w:r>
        <w:instrText xml:space="preserve"> PAGEREF _Toc1097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_Toc32670 </w:instrText>
      </w:r>
      <w:r>
        <w:fldChar w:fldCharType="separate"/>
      </w:r>
      <w:r>
        <w:t>4.3 隔声</w:t>
      </w:r>
      <w:r>
        <w:rPr>
          <w:rFonts w:hint="eastAsia"/>
        </w:rPr>
        <w:t>量计算经验</w:t>
      </w:r>
      <w:r>
        <w:t>公式</w:t>
      </w:r>
      <w:r>
        <w:tab/>
      </w:r>
      <w:r>
        <w:fldChar w:fldCharType="begin"/>
      </w:r>
      <w:r>
        <w:instrText xml:space="preserve"> PAGEREF _Toc32670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_Toc29198 </w:instrText>
      </w:r>
      <w:r>
        <w:fldChar w:fldCharType="separate"/>
      </w:r>
      <w:r>
        <w:t xml:space="preserve">4.4 </w:t>
      </w:r>
      <w:r>
        <w:rPr>
          <w:rFonts w:hint="eastAsia"/>
        </w:rPr>
        <w:t>单值评价量</w:t>
      </w:r>
      <w:r>
        <w:tab/>
      </w:r>
      <w:r>
        <w:fldChar w:fldCharType="begin"/>
      </w:r>
      <w:r>
        <w:instrText xml:space="preserve"> PAGEREF _Toc29198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_Toc14947 </w:instrText>
      </w:r>
      <w:r>
        <w:fldChar w:fldCharType="separate"/>
      </w:r>
      <w:r>
        <w:t xml:space="preserve">4.5 </w:t>
      </w:r>
      <w:r>
        <w:rPr>
          <w:rFonts w:hint="eastAsia"/>
        </w:rPr>
        <w:t>频谱修正量</w:t>
      </w:r>
      <w:r>
        <w:tab/>
      </w:r>
      <w:r>
        <w:fldChar w:fldCharType="begin"/>
      </w:r>
      <w:r>
        <w:instrText xml:space="preserve"> PAGEREF _Toc14947 </w:instrText>
      </w:r>
      <w:r>
        <w:fldChar w:fldCharType="separate"/>
      </w:r>
      <w:r>
        <w:t>5</w:t>
      </w:r>
      <w:r>
        <w:fldChar w:fldCharType="end"/>
      </w:r>
      <w:r>
        <w:fldChar w:fldCharType="end"/>
      </w:r>
    </w:p>
    <w:p>
      <w:pPr>
        <w:pStyle w:val="18"/>
        <w:tabs>
          <w:tab w:val="right" w:leader="dot" w:pos="9070"/>
          <w:tab w:val="clear" w:pos="180"/>
          <w:tab w:val="clear" w:pos="9360"/>
        </w:tabs>
      </w:pPr>
      <w:r>
        <w:fldChar w:fldCharType="begin"/>
      </w:r>
      <w:r>
        <w:instrText xml:space="preserve"> HYPERLINK \l _Toc23461 </w:instrText>
      </w:r>
      <w:r>
        <w:fldChar w:fldCharType="separate"/>
      </w:r>
      <w:r>
        <w:t xml:space="preserve">5 </w:t>
      </w:r>
      <w:r>
        <w:rPr>
          <w:rFonts w:hint="eastAsia"/>
        </w:rPr>
        <w:t>构件空气声隔声性能</w:t>
      </w:r>
      <w:r>
        <w:tab/>
      </w:r>
      <w:r>
        <w:fldChar w:fldCharType="begin"/>
      </w:r>
      <w:r>
        <w:instrText xml:space="preserve"> PAGEREF _Toc23461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_Toc15753 </w:instrText>
      </w:r>
      <w:r>
        <w:fldChar w:fldCharType="separate"/>
      </w:r>
      <w:r>
        <w:t xml:space="preserve">5.1 </w:t>
      </w:r>
      <w:r>
        <w:rPr>
          <w:rFonts w:hint="eastAsia"/>
        </w:rPr>
        <w:t>墙板的空气声隔声量</w:t>
      </w:r>
      <w:r>
        <w:tab/>
      </w:r>
      <w:r>
        <w:fldChar w:fldCharType="begin"/>
      </w:r>
      <w:r>
        <w:instrText xml:space="preserve"> PAGEREF _Toc15753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_Toc27026 </w:instrText>
      </w:r>
      <w:r>
        <w:fldChar w:fldCharType="separate"/>
      </w:r>
      <w:r>
        <w:t xml:space="preserve">5.1.1 </w:t>
      </w:r>
      <w:r>
        <w:rPr>
          <w:rFonts w:hint="eastAsia"/>
        </w:rPr>
        <w:t>墙板构造做法</w:t>
      </w:r>
      <w:r>
        <w:tab/>
      </w:r>
      <w:r>
        <w:fldChar w:fldCharType="begin"/>
      </w:r>
      <w:r>
        <w:instrText xml:space="preserve"> PAGEREF _Toc27026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_Toc18503 </w:instrText>
      </w:r>
      <w:r>
        <w:fldChar w:fldCharType="separate"/>
      </w:r>
      <w:r>
        <w:t xml:space="preserve">5.1.2 </w:t>
      </w:r>
      <w:r>
        <w:rPr>
          <w:rFonts w:hint="eastAsia"/>
        </w:rPr>
        <w:t>墙板空气声隔声性能</w:t>
      </w:r>
      <w:r>
        <w:tab/>
      </w:r>
      <w:r>
        <w:fldChar w:fldCharType="begin"/>
      </w:r>
      <w:r>
        <w:instrText xml:space="preserve"> PAGEREF _Toc18503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_Toc15335 </w:instrText>
      </w:r>
      <w:r>
        <w:fldChar w:fldCharType="separate"/>
      </w:r>
      <w:r>
        <w:t xml:space="preserve">5.2 </w:t>
      </w:r>
      <w:r>
        <w:rPr>
          <w:rFonts w:hint="eastAsia"/>
        </w:rPr>
        <w:t>门窗的空气声隔声量</w:t>
      </w:r>
      <w:r>
        <w:tab/>
      </w:r>
      <w:r>
        <w:fldChar w:fldCharType="begin"/>
      </w:r>
      <w:r>
        <w:instrText xml:space="preserve"> PAGEREF _Toc15335 </w:instrText>
      </w:r>
      <w:r>
        <w:fldChar w:fldCharType="separate"/>
      </w:r>
      <w:r>
        <w:t>9</w:t>
      </w:r>
      <w:r>
        <w:fldChar w:fldCharType="end"/>
      </w:r>
      <w:r>
        <w:fldChar w:fldCharType="end"/>
      </w:r>
    </w:p>
    <w:p>
      <w:pPr>
        <w:pStyle w:val="18"/>
        <w:tabs>
          <w:tab w:val="right" w:leader="dot" w:pos="9070"/>
          <w:tab w:val="clear" w:pos="180"/>
          <w:tab w:val="clear" w:pos="9360"/>
        </w:tabs>
      </w:pPr>
      <w:r>
        <w:fldChar w:fldCharType="begin"/>
      </w:r>
      <w:r>
        <w:instrText xml:space="preserve"> HYPERLINK \l _Toc18748 </w:instrText>
      </w:r>
      <w:r>
        <w:fldChar w:fldCharType="separate"/>
      </w:r>
      <w:r>
        <w:t xml:space="preserve">6 </w:t>
      </w:r>
      <w:r>
        <w:rPr>
          <w:rFonts w:hint="eastAsia"/>
        </w:rPr>
        <w:t>楼板撞击声隔声性能</w:t>
      </w:r>
      <w:r>
        <w:tab/>
      </w:r>
      <w:r>
        <w:fldChar w:fldCharType="begin"/>
      </w:r>
      <w:r>
        <w:instrText xml:space="preserve"> PAGEREF _Toc18748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_Toc25173 </w:instrText>
      </w:r>
      <w:r>
        <w:fldChar w:fldCharType="separate"/>
      </w:r>
      <w:r>
        <w:rPr>
          <w:kern w:val="2"/>
        </w:rPr>
        <w:t xml:space="preserve">7 </w:t>
      </w:r>
      <w:r>
        <w:rPr>
          <w:rFonts w:hint="eastAsia"/>
          <w:kern w:val="2"/>
        </w:rPr>
        <w:t>结论</w:t>
      </w:r>
      <w:r>
        <w:tab/>
      </w:r>
      <w:r>
        <w:fldChar w:fldCharType="begin"/>
      </w:r>
      <w:r>
        <w:instrText xml:space="preserve"> PAGEREF _Toc25173 </w:instrText>
      </w:r>
      <w:r>
        <w:fldChar w:fldCharType="separate"/>
      </w:r>
      <w:r>
        <w:t>12</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29776"/>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r>
              <w:t>高层建筑</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 xml:space="preserve">建筑面积 </w:t>
            </w:r>
            <w:r>
              <w:t>(m</w:t>
            </w:r>
            <w:r>
              <w:rPr>
                <w:vertAlign w:val="superscript"/>
              </w:rPr>
              <w:t>2</w:t>
            </w:r>
            <w:r>
              <w:t>)</w:t>
            </w:r>
          </w:p>
        </w:tc>
        <w:tc>
          <w:tcPr>
            <w:tcW w:w="6056" w:type="dxa"/>
          </w:tcPr>
          <w:p>
            <w:pPr>
              <w:pStyle w:val="3"/>
            </w:pPr>
            <w:r>
              <w:rPr>
                <w:rFonts w:hint="eastAsia"/>
              </w:rPr>
              <w:t xml:space="preserve">地上  </w:t>
            </w:r>
            <w:bookmarkStart w:id="13" w:name="地上建筑面积"/>
            <w:r>
              <w:t>26367</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23</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90.3</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3196"/>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5808"/>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pPr>
        <w:pStyle w:val="2"/>
        <w:ind w:left="669" w:hanging="669"/>
        <w:rPr>
          <w:kern w:val="2"/>
        </w:rPr>
      </w:pPr>
      <w:bookmarkStart w:id="24" w:name="_Toc1177"/>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8242"/>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ctrlPr>
                <w:rPr>
                  <w:rFonts w:ascii="Cambria Math" w:hAnsi="宋体"/>
                  <w:i/>
                </w:rPr>
              </m:ctrlPr>
            </m:fName>
            <m:e>
              <m:f>
                <m:fPr>
                  <m:ctrlPr>
                    <w:rPr>
                      <w:rFonts w:ascii="Cambria Math" w:hAnsi="宋体"/>
                      <w:i/>
                    </w:rPr>
                  </m:ctrlPr>
                </m:fPr>
                <m:num>
                  <m:r>
                    <w:rPr>
                      <w:rFonts w:ascii="Cambria Math" w:hAnsi="宋体"/>
                    </w:rPr>
                    <m:t>1</m:t>
                  </m:r>
                  <m:ctrlPr>
                    <w:rPr>
                      <w:rFonts w:ascii="Cambria Math" w:hAnsi="宋体"/>
                      <w:i/>
                    </w:rPr>
                  </m:ctrlPr>
                </m:num>
                <m:den>
                  <m:r>
                    <w:rPr>
                      <w:rFonts w:ascii="Cambria Math" w:hAnsi="宋体"/>
                    </w:rPr>
                    <m:t>τ</m:t>
                  </m:r>
                  <m:ctrlPr>
                    <w:rPr>
                      <w:rFonts w:ascii="Cambria Math" w:hAnsi="宋体"/>
                      <w:i/>
                    </w:rPr>
                  </m:ctrlPr>
                </m:den>
              </m:f>
              <m:ctrlPr>
                <w:rPr>
                  <w:rFonts w:ascii="Cambria Math" w:hAnsi="Cambria Math"/>
                  <w:i/>
                </w:rPr>
              </m:ctrlPr>
            </m:e>
          </m:func>
        </m:oMath>
      </m:oMathPara>
    </w:p>
    <w:p>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275877"/>
      <w:bookmarkStart w:id="28" w:name="_Toc503800668"/>
      <w:bookmarkStart w:id="29" w:name="_Toc503800603"/>
      <w:bookmarkStart w:id="30" w:name="_Toc1097"/>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spacing w:before="240"/>
        <w:ind w:right="420"/>
        <w:jc w:val="center"/>
        <w:rPr>
          <w:rFonts w:ascii="宋体" w:hAnsi="宋体"/>
        </w:rPr>
      </w:pPr>
      <m:oMathPara>
        <m:oMath>
          <m:sSub>
            <m:sSubPr>
              <m:ctrlPr>
                <w:rPr>
                  <w:rFonts w:ascii="Cambria Math" w:hAnsi="宋体"/>
                  <w:i/>
                </w:rPr>
              </m:ctrlPr>
            </m:sSubPr>
            <m:e>
              <m:r>
                <w:rPr>
                  <w:rFonts w:ascii="Cambria Math" w:hAnsi="宋体"/>
                </w:rPr>
                <m:t>R</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=10</m:t>
          </m:r>
          <m:func>
            <m:funcPr>
              <m:ctrlPr>
                <w:rPr>
                  <w:rFonts w:ascii="Cambria Math" w:hAnsi="宋体"/>
                  <w:i/>
                </w:rPr>
              </m:ctrlPr>
            </m:funcPr>
            <m:fName>
              <m:r>
                <w:rPr>
                  <w:rFonts w:ascii="Cambria Math" w:hAnsi="宋体"/>
                </w:rPr>
                <m:t>lg</m:t>
              </m:r>
              <m:ctrlPr>
                <w:rPr>
                  <w:rFonts w:ascii="Cambria Math" w:hAnsi="宋体"/>
                  <w:i/>
                </w:rPr>
              </m:ctrlP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ctrlPr>
                                <w:rPr>
                                  <w:rFonts w:ascii="Cambria Math" w:hAnsi="宋体"/>
                                  <w:i/>
                                </w:rPr>
                              </m:ctrlPr>
                            </m:num>
                            <m:den>
                              <m:sSub>
                                <m:sSubPr>
                                  <m:ctrlPr>
                                    <w:rPr>
                                      <w:rFonts w:ascii="Cambria Math" w:hAnsi="宋体"/>
                                      <w:i/>
                                    </w:rPr>
                                  </m:ctrlPr>
                                </m:sSubPr>
                                <m:e>
                                  <m:r>
                                    <w:rPr>
                                      <w:rFonts w:ascii="Cambria Math" w:hAnsi="宋体"/>
                                    </w:rPr>
                                    <m:t>ρ</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pPr>
        <w:pStyle w:val="3"/>
        <w:spacing w:before="240"/>
        <w:jc w:val="center"/>
      </w:pPr>
      <m:oMathPara>
        <m:oMath>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ctrlPr>
                    <w:rPr>
                      <w:rFonts w:ascii="Cambria Math" w:hAnsi="Cambria Math"/>
                    </w:rPr>
                  </m:ctrlPr>
                </m:num>
                <m:den>
                  <m:sSub>
                    <m:sSubPr>
                      <m:ctrlPr>
                        <w:rPr>
                          <w:rFonts w:ascii="Cambria Math" w:hAnsi="Cambria Math"/>
                        </w:rPr>
                      </m:ctrlPr>
                    </m:sSubPr>
                    <m:e>
                      <m:r>
                        <w:rPr>
                          <w:rFonts w:ascii="Cambria Math" w:hAnsi="Cambria Math"/>
                        </w:rPr>
                        <m:t>ρ</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c</m:t>
                  </m:r>
                  <m:ctrlPr>
                    <w:rPr>
                      <w:rFonts w:ascii="Cambria Math" w:hAnsi="Cambria Math"/>
                    </w:rPr>
                  </m:ctrlPr>
                </m:den>
              </m:f>
              <m:ctrlPr>
                <w:rPr>
                  <w:rFonts w:ascii="Cambria Math" w:hAnsi="Cambria Math"/>
                </w:rPr>
              </m:ctrlPr>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p>
    <w:p>
      <w:pPr>
        <w:jc w:val="center"/>
        <w:rPr>
          <w:rFonts w:ascii="宋体" w:hAnsi="宋体"/>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ctrlPr>
                <w:rPr>
                  <w:rFonts w:ascii="Cambria Math" w:hAnsi="Cambria Math"/>
                  <w:sz w:val="21"/>
                  <w:szCs w:val="21"/>
                </w:rPr>
              </m:ctrlPr>
            </m:e>
            <m:sub>
              <m:r>
                <w:rPr>
                  <w:rFonts w:ascii="Cambria Math" w:hAnsi="Cambria Math"/>
                  <w:sz w:val="21"/>
                  <w:szCs w:val="21"/>
                </w:rPr>
                <m:t>o</m:t>
              </m:r>
              <m:ctrlPr>
                <w:rPr>
                  <w:rFonts w:ascii="Cambria Math" w:hAnsi="Cambria Math"/>
                  <w:sz w:val="21"/>
                  <w:szCs w:val="21"/>
                </w:rPr>
              </m:ctrlP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32670"/>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w:t>
      </w:r>
      <w:r>
        <w:rPr>
          <w:lang w:val="en-US"/>
        </w:rPr>
        <w:t xml:space="preserve"> </w:t>
      </w:r>
      <w:r>
        <w:rPr>
          <w:rFonts w:hint="eastAsia"/>
          <w:lang w:val="en-US"/>
        </w:rPr>
        <w:t>Hz隔声曲线</w:t>
      </w:r>
    </w:p>
    <w:p>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29198"/>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spacing w:before="240"/>
        <w:ind w:right="180"/>
        <w:jc w:val="center"/>
      </w:pPr>
      <m:oMathPara>
        <m:oMath>
          <m:eqArr>
            <m:eqArrPr>
              <m:ctrlPr>
                <w:rPr>
                  <w:rFonts w:ascii="Cambria Math" w:hAnsi="Cambria Math"/>
                </w:rPr>
              </m:ctrlPr>
            </m:eqArrPr>
            <m:e>
              <m:r>
                <w:rPr>
                  <w:rFonts w:ascii="Cambria Math" w:hAnsi="Cambria Math"/>
                </w:rPr>
                <m:t>&amp;</m:t>
              </m:r>
              <m:nary>
                <m:naryPr>
                  <m:chr m:val="∑"/>
                  <m:grow m:val="1"/>
                  <m:limLoc m:val="undOvr"/>
                  <m:ctrlPr>
                    <w:rPr>
                      <w:rFonts w:ascii="Cambria Math" w:hAnsi="Cambria Math"/>
                    </w:rPr>
                  </m:ctrlPr>
                </m:naryPr>
                <m:sub>
                  <m:r>
                    <w:rPr>
                      <w:rFonts w:ascii="Cambria Math" w:hAnsi="Cambria Math"/>
                    </w:rPr>
                    <m:t>i=1</m:t>
                  </m:r>
                  <m:ctrlPr>
                    <w:rPr>
                      <w:rFonts w:ascii="Cambria Math" w:hAnsi="Cambria Math"/>
                    </w:rPr>
                  </m:ctrlPr>
                </m:sub>
                <m:sup>
                  <m:r>
                    <w:rPr>
                      <w:rFonts w:ascii="Cambria Math" w:hAnsi="Cambria Math"/>
                    </w:rPr>
                    <m:t>5</m:t>
                  </m:r>
                  <m:ctrlPr>
                    <w:rPr>
                      <w:rFonts w:ascii="Cambria Math" w:hAnsi="Cambria Math"/>
                    </w:rPr>
                  </m:ctrlPr>
                </m:sup>
                <m:e>
                  <m:r>
                    <w:rPr>
                      <w:rFonts w:ascii="Cambria Math" w:hAnsi="Cambria Math"/>
                    </w:rPr>
                    <m:t> </m:t>
                  </m:r>
                  <m:ctrlPr>
                    <w:rPr>
                      <w:rFonts w:ascii="Cambria Math" w:hAnsi="Cambria Math"/>
                    </w:rPr>
                  </m:ctrlPr>
                </m:e>
              </m:nary>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≤10.0</m:t>
              </m:r>
              <m:ctrlPr>
                <w:rPr>
                  <w:rFonts w:ascii="Cambria Math" w:hAnsi="Cambria Math"/>
                </w:rPr>
              </m:ctrlPr>
            </m:e>
            <m:e>
              <m:r>
                <w:rPr>
                  <w:rFonts w:ascii="Cambria Math" w:hAnsi="Cambria Math"/>
                </w:rPr>
                <m:t>&amp;</m:t>
              </m:r>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&gt;0</m:t>
                        </m:r>
                        <m:ctrlPr>
                          <w:rPr>
                            <w:rFonts w:ascii="Cambria Math" w:hAnsi="Cambria Math"/>
                          </w:rPr>
                        </m:ctrlPr>
                      </m:e>
                    </m:mr>
                    <m:mr>
                      <m:e>
                        <m:r>
                          <w:rPr>
                            <w:rFonts w:ascii="Cambria Math" w:hAnsi="Cambria Math"/>
                          </w:rPr>
                          <m:t>0</m:t>
                        </m:r>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pPr>
        <w:pStyle w:val="3"/>
        <w:jc w:val="center"/>
      </w:pPr>
    </w:p>
    <w:p>
      <w:pPr>
        <w:pStyle w:val="3"/>
        <w:jc w:val="center"/>
      </w:pPr>
      <m:oMathPara>
        <m:oMath>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-5&gt;0</m:t>
                  </m:r>
                  <m:ctrlPr>
                    <w:rPr>
                      <w:rFonts w:ascii="Cambria Math" w:hAnsi="Cambria Math"/>
                    </w:rPr>
                  </m:ctrlPr>
                </m:e>
                <m:e>
                  <m:r>
                    <w:rPr>
                      <w:rFonts w:ascii="Cambria Math" w:hAnsi="Cambria Math"/>
                    </w:rPr>
                    <m:t>&amp;0    &amp;&amp;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jc w:val="right"/>
        <w:rPr>
          <w:lang w:val="en-US"/>
        </w:rPr>
      </w:pPr>
      <w:r>
        <w:rPr>
          <w:rFonts w:hint="eastAsia"/>
          <w:lang w:val="en-US"/>
        </w:rPr>
        <w:t>表</w:t>
      </w:r>
      <w:r>
        <w:rPr>
          <w:lang w:val="en-US"/>
        </w:rPr>
        <w:t xml:space="preserve">4.1 </w:t>
      </w:r>
      <w:r>
        <w:rPr>
          <w:rFonts w:hint="eastAsia"/>
          <w:lang w:val="en-US"/>
        </w:rPr>
        <w:t>各频带基准值K</w:t>
      </w:r>
      <m:oMath>
        <m:r>
          <w:rPr>
            <w:rFonts w:hint="eastAsia" w:ascii="Cambria Math" w:hAnsi="Cambria Math"/>
            <w:lang w:val="en-US"/>
          </w:rPr>
          <m:t>i</m:t>
        </m:r>
        <m: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sz w:val="21"/>
                <w:szCs w:val="21"/>
              </w:rPr>
            </w:pPr>
            <w:r>
              <w:rPr>
                <w:rFonts w:hint="eastAsia"/>
                <w:sz w:val="21"/>
                <w:szCs w:val="21"/>
              </w:rPr>
              <w:t>2000</w:t>
            </w:r>
            <w:r>
              <w:rPr>
                <w:sz w:val="21"/>
                <w:szCs w:val="21"/>
              </w:rP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空气声基准值</w:t>
            </w:r>
          </w:p>
        </w:tc>
        <w:tc>
          <w:tcPr>
            <w:tcW w:w="1416" w:type="dxa"/>
            <w:vAlign w:val="center"/>
          </w:tcPr>
          <w:p>
            <w:pPr>
              <w:spacing w:line="360" w:lineRule="exact"/>
              <w:jc w:val="center"/>
              <w:rPr>
                <w:sz w:val="21"/>
                <w:szCs w:val="21"/>
              </w:rPr>
            </w:pPr>
            <w:r>
              <w:rPr>
                <w:rFonts w:hint="eastAsia"/>
                <w:sz w:val="21"/>
                <w:szCs w:val="21"/>
              </w:rPr>
              <w:t>-16</w:t>
            </w:r>
          </w:p>
        </w:tc>
        <w:tc>
          <w:tcPr>
            <w:tcW w:w="1416" w:type="dxa"/>
            <w:vAlign w:val="center"/>
          </w:tcPr>
          <w:p>
            <w:pPr>
              <w:spacing w:line="360" w:lineRule="exact"/>
              <w:jc w:val="center"/>
              <w:rPr>
                <w:sz w:val="21"/>
                <w:szCs w:val="21"/>
              </w:rPr>
            </w:pPr>
            <w:r>
              <w:rPr>
                <w:rFonts w:hint="eastAsia"/>
                <w:sz w:val="21"/>
                <w:szCs w:val="21"/>
              </w:rPr>
              <w:t>-7</w:t>
            </w:r>
          </w:p>
        </w:tc>
        <w:tc>
          <w:tcPr>
            <w:tcW w:w="1416" w:type="dxa"/>
            <w:vAlign w:val="center"/>
          </w:tcPr>
          <w:p>
            <w:pPr>
              <w:spacing w:line="360" w:lineRule="exact"/>
              <w:jc w:val="center"/>
              <w:rPr>
                <w:sz w:val="21"/>
                <w:szCs w:val="21"/>
              </w:rPr>
            </w:pPr>
            <w:r>
              <w:rPr>
                <w:rFonts w:hint="eastAsia"/>
                <w:sz w:val="21"/>
                <w:szCs w:val="21"/>
              </w:rPr>
              <w:t>0</w:t>
            </w:r>
          </w:p>
        </w:tc>
        <w:tc>
          <w:tcPr>
            <w:tcW w:w="1416" w:type="dxa"/>
            <w:vAlign w:val="center"/>
          </w:tcPr>
          <w:p>
            <w:pPr>
              <w:spacing w:line="360" w:lineRule="exact"/>
              <w:jc w:val="center"/>
              <w:rPr>
                <w:sz w:val="21"/>
                <w:szCs w:val="21"/>
              </w:rPr>
            </w:pPr>
            <w:r>
              <w:rPr>
                <w:rFonts w:hint="eastAsia"/>
                <w:sz w:val="21"/>
                <w:szCs w:val="21"/>
              </w:rPr>
              <w:t>3</w:t>
            </w:r>
          </w:p>
        </w:tc>
        <w:tc>
          <w:tcPr>
            <w:tcW w:w="1418" w:type="dxa"/>
            <w:vAlign w:val="center"/>
          </w:tcPr>
          <w:p>
            <w:pPr>
              <w:spacing w:line="360" w:lineRule="exact"/>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撞击声基准值</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0</w:t>
            </w:r>
          </w:p>
        </w:tc>
        <w:tc>
          <w:tcPr>
            <w:tcW w:w="1416" w:type="dxa"/>
            <w:vAlign w:val="center"/>
          </w:tcPr>
          <w:p>
            <w:pPr>
              <w:spacing w:line="360" w:lineRule="exact"/>
              <w:jc w:val="center"/>
              <w:rPr>
                <w:sz w:val="21"/>
                <w:szCs w:val="21"/>
              </w:rPr>
            </w:pPr>
            <w:r>
              <w:rPr>
                <w:rFonts w:hint="eastAsia"/>
                <w:sz w:val="21"/>
                <w:szCs w:val="21"/>
                <w:lang w:val="en-US"/>
              </w:rPr>
              <w:t>-3</w:t>
            </w:r>
          </w:p>
        </w:tc>
        <w:tc>
          <w:tcPr>
            <w:tcW w:w="1418" w:type="dxa"/>
            <w:vAlign w:val="center"/>
          </w:tcPr>
          <w:p>
            <w:pPr>
              <w:spacing w:line="360" w:lineRule="exact"/>
              <w:jc w:val="center"/>
              <w:rPr>
                <w:sz w:val="21"/>
                <w:szCs w:val="21"/>
              </w:rPr>
            </w:pPr>
            <w:r>
              <w:rPr>
                <w:rFonts w:hint="eastAsia"/>
                <w:sz w:val="21"/>
                <w:szCs w:val="21"/>
                <w:lang w:val="en-US"/>
              </w:rPr>
              <w:t>-16</w:t>
            </w:r>
          </w:p>
        </w:tc>
      </w:tr>
    </w:tbl>
    <w:p>
      <w:pPr>
        <w:pStyle w:val="4"/>
      </w:pPr>
      <w:bookmarkStart w:id="33" w:name="_Toc14947"/>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w:rPr>
                  <w:rFonts w:ascii="Cambria Math"/>
                  <w:lang w:val="en-US"/>
                </w:rPr>
                <m:t>C</m:t>
              </m:r>
              <m:ctrlPr>
                <w:rPr>
                  <w:rFonts w:ascii="Cambria Math" w:hAnsi="Cambria Math"/>
                  <w:i/>
                </w:rPr>
              </m:ctrlPr>
            </m:e>
            <m:sub>
              <m:r>
                <w:rPr>
                  <w:rFonts w:ascii="Cambria Math"/>
                  <w:lang w:val="en-US"/>
                </w:rPr>
                <m:t>j</m:t>
              </m:r>
              <m:ctrlPr>
                <w:rPr>
                  <w:rFonts w:ascii="Cambria Math" w:hAnsi="Cambria Math"/>
                  <w:i/>
                </w:rPr>
              </m:ctrlPr>
            </m:sub>
          </m:sSub>
          <m:r>
            <w:rPr>
              <w:rFonts w:ascii="Cambria Math"/>
              <w:lang w:val="en-US"/>
            </w:rPr>
            <m:t>=</m:t>
          </m:r>
          <m:r>
            <w:rPr>
              <w:rFonts w:hint="eastAsia" w:ascii="Cambria Math"/>
              <w:lang w:val="en-US"/>
            </w:rPr>
            <m:t>-</m:t>
          </m:r>
          <m:r>
            <w:rPr>
              <w:rFonts w:ascii="Cambria Math"/>
              <w:lang w:val="en-US"/>
            </w:rPr>
            <m:t>10</m:t>
          </m:r>
          <m:func>
            <m:funcPr>
              <m:ctrlPr>
                <w:rPr>
                  <w:rFonts w:ascii="Cambria Math" w:hAnsi="Cambria Math"/>
                  <w:i/>
                </w:rPr>
              </m:ctrlPr>
            </m:funcPr>
            <m:fName>
              <m: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w:rPr>
                      <w:rFonts w:ascii="Cambria Math"/>
                      <w:lang w:val="en-US"/>
                    </w:rPr>
                    <m:t>1</m:t>
                  </m:r>
                  <m:sSup>
                    <m:sSupPr>
                      <m:ctrlPr>
                        <w:rPr>
                          <w:rFonts w:ascii="Cambria Math" w:hAnsi="Cambria Math"/>
                          <w:i/>
                        </w:rPr>
                      </m:ctrlPr>
                    </m:sSupPr>
                    <m:e>
                      <m:r>
                        <w:rPr>
                          <w:rFonts w:ascii="Cambria Math"/>
                          <w:lang w:val="en-US"/>
                        </w:rPr>
                        <m:t>0</m:t>
                      </m:r>
                      <m:ctrlPr>
                        <w:rPr>
                          <w:rFonts w:ascii="Cambria Math" w:hAnsi="Cambria Math"/>
                          <w:i/>
                        </w:rPr>
                      </m:ctrlPr>
                    </m:e>
                    <m:sup>
                      <m:r>
                        <w:rPr>
                          <w:rFonts w:ascii="Cambria Math"/>
                          <w:lang w:val="en-US"/>
                        </w:rPr>
                        <m:t>(</m:t>
                      </m:r>
                      <m:sSub>
                        <m:sSubPr>
                          <m:ctrlPr>
                            <w:rPr>
                              <w:rFonts w:ascii="Cambria Math" w:hAnsi="Cambria Math"/>
                              <w:i/>
                            </w:rPr>
                          </m:ctrlPr>
                        </m:sSubPr>
                        <m:e>
                          <m:r>
                            <w:rPr>
                              <w:rFonts w:ascii="Cambria Math"/>
                              <w:lang w:val="en-US"/>
                            </w:rPr>
                            <m:t>L</m:t>
                          </m:r>
                          <m:ctrlPr>
                            <w:rPr>
                              <w:rFonts w:ascii="Cambria Math" w:hAnsi="Cambria Math"/>
                              <w:i/>
                            </w:rPr>
                          </m:ctrlPr>
                        </m:e>
                        <m:sub>
                          <m:r>
                            <w:rPr>
                              <w:rFonts w:ascii="Cambria Math"/>
                              <w:lang w:val="en-US"/>
                            </w:rPr>
                            <m:t>ij</m:t>
                          </m:r>
                          <m:ctrlPr>
                            <w:rPr>
                              <w:rFonts w:ascii="Cambria Math" w:hAnsi="Cambria Math"/>
                              <w:i/>
                            </w:rPr>
                          </m:ctrlPr>
                        </m:sub>
                      </m:sSub>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i</m:t>
                          </m:r>
                          <m:ctrlPr>
                            <w:rPr>
                              <w:rFonts w:ascii="Cambria Math" w:hAnsi="Cambria Math"/>
                              <w:i/>
                            </w:rPr>
                          </m:ctrlPr>
                        </m:sub>
                      </m:sSub>
                      <m: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lang w:val="en-US"/>
              </w:rPr>
            </w:pPr>
            <w:r>
              <w:rPr>
                <w:color w:val="000000"/>
              </w:rPr>
              <w:t>125 Hz</w:t>
            </w:r>
          </w:p>
        </w:tc>
        <w:tc>
          <w:tcPr>
            <w:tcW w:w="1228" w:type="dxa"/>
            <w:shd w:val="clear" w:color="auto" w:fill="D9D9D9"/>
            <w:vAlign w:val="center"/>
          </w:tcPr>
          <w:p>
            <w:pPr>
              <w:pStyle w:val="3"/>
              <w:spacing w:line="360" w:lineRule="exact"/>
              <w:jc w:val="center"/>
              <w:rPr>
                <w:lang w:val="en-US"/>
              </w:rPr>
            </w:pPr>
            <w:r>
              <w:rPr>
                <w:color w:val="000000"/>
              </w:rPr>
              <w:t>250 Hz</w:t>
            </w:r>
          </w:p>
        </w:tc>
        <w:tc>
          <w:tcPr>
            <w:tcW w:w="1228" w:type="dxa"/>
            <w:shd w:val="clear" w:color="auto" w:fill="D9D9D9"/>
            <w:vAlign w:val="center"/>
          </w:tcPr>
          <w:p>
            <w:pPr>
              <w:pStyle w:val="3"/>
              <w:spacing w:line="360" w:lineRule="exact"/>
              <w:jc w:val="center"/>
              <w:rPr>
                <w:lang w:val="en-US"/>
              </w:rPr>
            </w:pPr>
            <w:r>
              <w:rPr>
                <w:color w:val="000000"/>
              </w:rPr>
              <w:t>500 Hz</w:t>
            </w:r>
          </w:p>
        </w:tc>
        <w:tc>
          <w:tcPr>
            <w:tcW w:w="1228" w:type="dxa"/>
            <w:shd w:val="clear" w:color="auto" w:fill="D9D9D9"/>
            <w:vAlign w:val="center"/>
          </w:tcPr>
          <w:p>
            <w:pPr>
              <w:pStyle w:val="3"/>
              <w:spacing w:line="360" w:lineRule="exact"/>
              <w:jc w:val="center"/>
              <w:rPr>
                <w:lang w:val="en-US"/>
              </w:rPr>
            </w:pPr>
            <w:r>
              <w:rPr>
                <w:color w:val="000000"/>
              </w:rPr>
              <w:t>1000 Hz</w:t>
            </w:r>
          </w:p>
        </w:tc>
        <w:tc>
          <w:tcPr>
            <w:tcW w:w="1228" w:type="dxa"/>
            <w:shd w:val="clear" w:color="auto" w:fill="D9D9D9"/>
            <w:vAlign w:val="center"/>
          </w:tcPr>
          <w:p>
            <w:pPr>
              <w:pStyle w:val="3"/>
              <w:spacing w:line="360" w:lineRule="exact"/>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color w:val="000000"/>
              </w:rPr>
            </w:pPr>
            <w:r>
              <w:rPr>
                <w:color w:val="000000"/>
              </w:rPr>
              <w:t>-21</w:t>
            </w:r>
          </w:p>
        </w:tc>
        <w:tc>
          <w:tcPr>
            <w:tcW w:w="1228"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-8</w:t>
            </w:r>
          </w:p>
        </w:tc>
        <w:tc>
          <w:tcPr>
            <w:tcW w:w="1228" w:type="dxa"/>
            <w:vAlign w:val="center"/>
          </w:tcPr>
          <w:p>
            <w:pPr>
              <w:pStyle w:val="3"/>
              <w:spacing w:line="360" w:lineRule="exact"/>
              <w:jc w:val="center"/>
              <w:rPr>
                <w:color w:val="000000"/>
              </w:rPr>
            </w:pPr>
            <w:r>
              <w:rPr>
                <w:color w:val="000000"/>
              </w:rPr>
              <w:t>-5</w:t>
            </w:r>
          </w:p>
        </w:tc>
        <w:tc>
          <w:tcPr>
            <w:tcW w:w="1228"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-10</w:t>
            </w:r>
          </w:p>
        </w:tc>
        <w:tc>
          <w:tcPr>
            <w:tcW w:w="1228" w:type="dxa"/>
            <w:vAlign w:val="center"/>
          </w:tcPr>
          <w:p>
            <w:pPr>
              <w:pStyle w:val="3"/>
              <w:spacing w:line="360" w:lineRule="exact"/>
              <w:jc w:val="center"/>
              <w:rPr>
                <w:color w:val="000000"/>
              </w:rPr>
            </w:pPr>
            <w:r>
              <w:rPr>
                <w:color w:val="000000"/>
              </w:rPr>
              <w:t>-7</w:t>
            </w:r>
          </w:p>
        </w:tc>
        <w:tc>
          <w:tcPr>
            <w:tcW w:w="1228" w:type="dxa"/>
            <w:vAlign w:val="center"/>
          </w:tcPr>
          <w:p>
            <w:pPr>
              <w:pStyle w:val="3"/>
              <w:spacing w:line="360" w:lineRule="exact"/>
              <w:jc w:val="center"/>
              <w:rPr>
                <w:color w:val="000000"/>
              </w:rPr>
            </w:pPr>
            <w:r>
              <w:rPr>
                <w:color w:val="000000"/>
              </w:rPr>
              <w:t>-4</w:t>
            </w:r>
          </w:p>
        </w:tc>
        <w:tc>
          <w:tcPr>
            <w:tcW w:w="1228" w:type="dxa"/>
            <w:vAlign w:val="center"/>
          </w:tcPr>
          <w:p>
            <w:pPr>
              <w:pStyle w:val="3"/>
              <w:spacing w:line="360" w:lineRule="exact"/>
              <w:jc w:val="center"/>
              <w:rPr>
                <w:color w:val="000000"/>
              </w:rPr>
            </w:pPr>
            <w:r>
              <w:rPr>
                <w:color w:val="000000"/>
              </w:rPr>
              <w:t>-6</w:t>
            </w:r>
          </w:p>
        </w:tc>
      </w:tr>
    </w:tbl>
    <w:p>
      <w:pPr>
        <w:pStyle w:val="2"/>
        <w:ind w:left="669" w:hanging="669"/>
      </w:pPr>
      <w:bookmarkStart w:id="34" w:name="_Toc23461"/>
      <w:r>
        <w:rPr>
          <w:rFonts w:hint="eastAsia"/>
        </w:rPr>
        <w:t>构件空气声隔声性能</w:t>
      </w:r>
      <w:bookmarkEnd w:id="34"/>
    </w:p>
    <w:p>
      <w:pPr>
        <w:pStyle w:val="4"/>
      </w:pPr>
      <w:bookmarkStart w:id="35" w:name="_Toc15753"/>
      <w:r>
        <w:rPr>
          <w:rFonts w:hint="eastAsia"/>
        </w:rPr>
        <w:t>墙板的空气声隔声量</w:t>
      </w:r>
      <w:bookmarkEnd w:id="35"/>
    </w:p>
    <w:p>
      <w:pPr>
        <w:pStyle w:val="5"/>
      </w:pPr>
      <w:bookmarkStart w:id="36" w:name="_Toc27026"/>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加气混凝土、泡沫混凝土(ρ=700)</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140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隔墙1</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570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隔墙2</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加气混凝土、泡沫混凝土(ρ=700)</w:t>
            </w:r>
          </w:p>
        </w:tc>
        <w:tc>
          <w:tcPr>
            <w:vAlign w:val="center"/>
          </w:tcPr>
          <w:p>
            <w:pPr>
              <w:jc w:val="center"/>
              <w:rPr>
                <w:sz w:val="21"/>
                <w:szCs w:val="21"/>
              </w:rPr>
            </w:pPr>
            <w:r>
              <w:rPr>
                <w:sz w:val="21"/>
                <w:szCs w:val="21"/>
              </w:rPr>
              <w:t>190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133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496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c20细石混凝土(ρ=2300)</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92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90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轻骨料混凝土(找坡层)</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1050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挑空楼板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70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地面</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8503"/>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会议室(办公建筑)与普通房间之间隔墙1</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20mm＋加气混凝土、泡沫混凝土(ρ=700) 190mm＋混合砂浆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75厚与100厚加气混凝土复合，中空50厚抹灰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《建筑隔声设计—空气声隔声技术》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35.0</w:t>
            </w:r>
          </w:p>
        </w:tc>
        <w:tc>
          <w:tcPr>
            <w:vAlign w:val="center"/>
          </w:tcPr>
          <w:p>
            <w:pPr>
              <w:rPr>
                <w:sz w:val="21"/>
                <w:szCs w:val="21"/>
              </w:rPr>
            </w:pPr>
            <w:r>
              <w:rPr>
                <w:sz w:val="21"/>
                <w:szCs w:val="21"/>
              </w:rPr>
              <w:t>44.0</w:t>
            </w:r>
          </w:p>
        </w:tc>
        <w:tc>
          <w:tcPr>
            <w:vAlign w:val="center"/>
          </w:tcPr>
          <w:p>
            <w:pPr>
              <w:rPr>
                <w:sz w:val="21"/>
                <w:szCs w:val="21"/>
              </w:rPr>
            </w:pPr>
            <w:r>
              <w:rPr>
                <w:sz w:val="21"/>
                <w:szCs w:val="21"/>
              </w:rPr>
              <w:t>48.0</w:t>
            </w:r>
          </w:p>
        </w:tc>
        <w:tc>
          <w:tcPr>
            <w:vAlign w:val="center"/>
          </w:tcPr>
          <w:p>
            <w:pPr>
              <w:rPr>
                <w:sz w:val="21"/>
                <w:szCs w:val="21"/>
              </w:rPr>
            </w:pPr>
            <w:r>
              <w:rPr>
                <w:sz w:val="21"/>
                <w:szCs w:val="21"/>
              </w:rPr>
              <w:t>56.0</w:t>
            </w:r>
          </w:p>
        </w:tc>
        <w:tc>
          <w:tcPr>
            <w:vAlign w:val="center"/>
          </w:tcPr>
          <w:p>
            <w:pPr>
              <w:rPr>
                <w:sz w:val="21"/>
                <w:szCs w:val="21"/>
              </w:rPr>
            </w:pPr>
            <w:r>
              <w:rPr>
                <w:sz w:val="21"/>
                <w:szCs w:val="21"/>
              </w:rPr>
              <w:t>89.0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2.0</w:t>
            </w:r>
          </w:p>
        </w:tc>
        <w:tc>
          <w:tcPr>
            <w:vAlign w:val="center"/>
          </w:tcPr>
          <w:p>
            <w:pPr>
              <w:rPr>
                <w:sz w:val="21"/>
                <w:szCs w:val="21"/>
              </w:rPr>
            </w:pPr>
            <w:r>
              <w:rPr>
                <w:sz w:val="21"/>
                <w:szCs w:val="21"/>
              </w:rPr>
              <w:t>2.0</w:t>
            </w:r>
          </w:p>
        </w:tc>
        <w:tc>
          <w:tcPr>
            <w:vAlign w:val="center"/>
          </w:tcPr>
          <w:p>
            <w:pPr>
              <w:rPr>
                <w:sz w:val="21"/>
                <w:szCs w:val="21"/>
              </w:rPr>
            </w:pPr>
            <w:r>
              <w:rPr>
                <w:sz w:val="21"/>
                <w:szCs w:val="21"/>
              </w:rPr>
              <w:t>5.0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会议室(办公建筑)与普通房间之间隔墙2</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200mm＋混合砂浆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570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45.5</w:t>
            </w:r>
          </w:p>
        </w:tc>
        <w:tc>
          <w:tcPr>
            <w:vAlign w:val="center"/>
          </w:tcPr>
          <w:p>
            <w:pPr>
              <w:rPr>
                <w:sz w:val="21"/>
                <w:szCs w:val="21"/>
              </w:rPr>
            </w:pPr>
            <w:r>
              <w:rPr>
                <w:sz w:val="21"/>
                <w:szCs w:val="21"/>
              </w:rPr>
              <w:t>48.8</w:t>
            </w:r>
          </w:p>
        </w:tc>
        <w:tc>
          <w:tcPr>
            <w:vAlign w:val="center"/>
          </w:tcPr>
          <w:p>
            <w:pPr>
              <w:rPr>
                <w:sz w:val="21"/>
                <w:szCs w:val="21"/>
              </w:rPr>
            </w:pPr>
            <w:r>
              <w:rPr>
                <w:sz w:val="21"/>
                <w:szCs w:val="21"/>
              </w:rPr>
              <w:t>52.1</w:t>
            </w:r>
          </w:p>
        </w:tc>
        <w:tc>
          <w:tcPr>
            <w:vAlign w:val="center"/>
          </w:tcPr>
          <w:p>
            <w:pPr>
              <w:rPr>
                <w:sz w:val="21"/>
                <w:szCs w:val="21"/>
              </w:rPr>
            </w:pPr>
            <w:r>
              <w:rPr>
                <w:sz w:val="21"/>
                <w:szCs w:val="21"/>
              </w:rPr>
              <w:t>55.4</w:t>
            </w:r>
          </w:p>
        </w:tc>
        <w:tc>
          <w:tcPr>
            <w:vAlign w:val="center"/>
          </w:tcPr>
          <w:p>
            <w:pPr>
              <w:rPr>
                <w:sz w:val="21"/>
                <w:szCs w:val="21"/>
              </w:rPr>
            </w:pPr>
            <w:r>
              <w:rPr>
                <w:sz w:val="21"/>
                <w:szCs w:val="21"/>
              </w:rPr>
              <w:t>58.7</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0.2</w:t>
            </w:r>
          </w:p>
        </w:tc>
        <w:tc>
          <w:tcPr>
            <w:vAlign w:val="center"/>
          </w:tcPr>
          <w:p>
            <w:pPr>
              <w:rPr>
                <w:sz w:val="21"/>
                <w:szCs w:val="21"/>
              </w:rPr>
            </w:pPr>
            <w:r>
              <w:rPr>
                <w:sz w:val="21"/>
                <w:szCs w:val="21"/>
              </w:rPr>
              <w:t>3.9</w:t>
            </w:r>
          </w:p>
        </w:tc>
        <w:tc>
          <w:tcPr>
            <w:vAlign w:val="center"/>
          </w:tcPr>
          <w:p>
            <w:pPr>
              <w:rPr>
                <w:sz w:val="21"/>
                <w:szCs w:val="21"/>
              </w:rPr>
            </w:pPr>
            <w:r>
              <w:rPr>
                <w:sz w:val="21"/>
                <w:szCs w:val="21"/>
              </w:rPr>
              <w:t>3.6</w:t>
            </w:r>
          </w:p>
        </w:tc>
        <w:tc>
          <w:tcPr>
            <w:vAlign w:val="center"/>
          </w:tcPr>
          <w:p>
            <w:pPr>
              <w:rPr>
                <w:sz w:val="21"/>
                <w:szCs w:val="21"/>
              </w:rPr>
            </w:pPr>
            <w:r>
              <w:rPr>
                <w:sz w:val="21"/>
                <w:szCs w:val="21"/>
              </w:rPr>
              <w:t>1.3</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办公室(办公建筑)与普通房间之间隔墙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20mm＋加气混凝土、泡沫混凝土(ρ=700) 190mm＋混合砂浆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75厚与100厚加气混凝土复合，中空50厚抹灰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《建筑隔声设计—空气声隔声技术》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35.0</w:t>
            </w:r>
          </w:p>
        </w:tc>
        <w:tc>
          <w:tcPr>
            <w:vAlign w:val="center"/>
          </w:tcPr>
          <w:p>
            <w:pPr>
              <w:rPr>
                <w:sz w:val="21"/>
                <w:szCs w:val="21"/>
              </w:rPr>
            </w:pPr>
            <w:r>
              <w:rPr>
                <w:sz w:val="21"/>
                <w:szCs w:val="21"/>
              </w:rPr>
              <w:t>44.0</w:t>
            </w:r>
          </w:p>
        </w:tc>
        <w:tc>
          <w:tcPr>
            <w:vAlign w:val="center"/>
          </w:tcPr>
          <w:p>
            <w:pPr>
              <w:rPr>
                <w:sz w:val="21"/>
                <w:szCs w:val="21"/>
              </w:rPr>
            </w:pPr>
            <w:r>
              <w:rPr>
                <w:sz w:val="21"/>
                <w:szCs w:val="21"/>
              </w:rPr>
              <w:t>48.0</w:t>
            </w:r>
          </w:p>
        </w:tc>
        <w:tc>
          <w:tcPr>
            <w:vAlign w:val="center"/>
          </w:tcPr>
          <w:p>
            <w:pPr>
              <w:rPr>
                <w:sz w:val="21"/>
                <w:szCs w:val="21"/>
              </w:rPr>
            </w:pPr>
            <w:r>
              <w:rPr>
                <w:sz w:val="21"/>
                <w:szCs w:val="21"/>
              </w:rPr>
              <w:t>56.0</w:t>
            </w:r>
          </w:p>
        </w:tc>
        <w:tc>
          <w:tcPr>
            <w:vAlign w:val="center"/>
          </w:tcPr>
          <w:p>
            <w:pPr>
              <w:rPr>
                <w:sz w:val="21"/>
                <w:szCs w:val="21"/>
              </w:rPr>
            </w:pPr>
            <w:r>
              <w:rPr>
                <w:sz w:val="21"/>
                <w:szCs w:val="21"/>
              </w:rPr>
              <w:t>89.0</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2.0</w:t>
            </w:r>
          </w:p>
        </w:tc>
        <w:tc>
          <w:tcPr>
            <w:vAlign w:val="center"/>
          </w:tcPr>
          <w:p>
            <w:pPr>
              <w:rPr>
                <w:sz w:val="21"/>
                <w:szCs w:val="21"/>
              </w:rPr>
            </w:pPr>
            <w:r>
              <w:rPr>
                <w:sz w:val="21"/>
                <w:szCs w:val="21"/>
              </w:rPr>
              <w:t>2.0</w:t>
            </w:r>
          </w:p>
        </w:tc>
        <w:tc>
          <w:tcPr>
            <w:vAlign w:val="center"/>
          </w:tcPr>
          <w:p>
            <w:pPr>
              <w:rPr>
                <w:sz w:val="21"/>
                <w:szCs w:val="21"/>
              </w:rPr>
            </w:pPr>
            <w:r>
              <w:rPr>
                <w:sz w:val="21"/>
                <w:szCs w:val="21"/>
              </w:rPr>
              <w:t>5.0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会议室(办公建筑)与普通房间之间楼板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120mm＋混合砂浆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双层150厚加气混凝土中空150厚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《建筑隔声设计—空气声隔声技术》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42.0</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67.0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6.0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56</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办公室(办公建筑)与普通房间之间楼板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120mm＋混合砂浆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双层150厚加气混凝土中空150厚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《建筑隔声设计—空气声隔声技术》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42.0</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67.0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6.0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4"/>
      </w:pPr>
      <w:bookmarkStart w:id="46" w:name="_Toc15335"/>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会议室(办公建筑)的门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内门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木门</w:t>
            </w:r>
            <w:r>
              <w:rPr>
                <w:sz w:val="21"/>
                <w:szCs w:val="21"/>
              </w:rPr>
              <w:br w:type="textWrapping"/>
            </w:r>
            <w:r>
              <w:rPr>
                <w:sz w:val="21"/>
                <w:szCs w:val="21"/>
              </w:rPr>
              <w:t>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3.0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低限:≥20,高要求:≥25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办公室(办公建筑)的门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内门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木门</w:t>
            </w:r>
            <w:r>
              <w:rPr>
                <w:sz w:val="21"/>
                <w:szCs w:val="21"/>
              </w:rPr>
              <w:br w:type="textWrapping"/>
            </w:r>
            <w:r>
              <w:rPr>
                <w:sz w:val="21"/>
                <w:szCs w:val="21"/>
              </w:rPr>
              <w:t>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3.0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低限:≥20,高要求:≥25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教学用房的其他外窗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113系列推拉聚酯合金增强塑料窗[5Low-E+9A+5+9A+5Low-E],80系列内平开聚酯合金增强塑料窗[5Low-E+12A+5+9A+5]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铝合金单元式玻璃幕墙</w:t>
            </w:r>
            <w:r>
              <w:rPr>
                <w:sz w:val="21"/>
                <w:szCs w:val="21"/>
              </w:rPr>
              <w:br w:type="textWrapping"/>
            </w:r>
            <w:r>
              <w:rPr>
                <w:sz w:val="21"/>
                <w:szCs w:val="21"/>
              </w:rPr>
              <w:t>玻璃为（8+12A+8）中空玻璃，共190厚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27.0</w:t>
            </w:r>
          </w:p>
        </w:tc>
        <w:tc>
          <w:tcPr>
            <w:vAlign w:val="center"/>
          </w:tcPr>
          <w:p>
            <w:pPr>
              <w:rPr>
                <w:sz w:val="21"/>
                <w:szCs w:val="21"/>
              </w:rPr>
            </w:pPr>
            <w:r>
              <w:rPr>
                <w:sz w:val="21"/>
                <w:szCs w:val="21"/>
              </w:rPr>
              <w:t>28.0</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w:t>
            </w:r>
          </w:p>
        </w:tc>
        <w:tc>
          <w:tcPr>
            <w:vAlign w:val="center"/>
          </w:tcPr>
          <w:p>
            <w:pPr>
              <w:rPr>
                <w:sz w:val="21"/>
                <w:szCs w:val="21"/>
              </w:rPr>
            </w:pPr>
            <w:r>
              <w:rPr>
                <w:sz w:val="21"/>
                <w:szCs w:val="21"/>
              </w:rPr>
              <w:t>3.0</w:t>
            </w:r>
          </w:p>
        </w:tc>
        <w:tc>
          <w:tcPr>
            <w:vAlign w:val="center"/>
          </w:tcPr>
          <w:p>
            <w:pPr>
              <w:rPr>
                <w:sz w:val="21"/>
                <w:szCs w:val="21"/>
              </w:rPr>
            </w:pPr>
            <w:r>
              <w:rPr>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113系列推拉聚酯合金增强塑料窗[5Low-E+9A+5+9A+5Low-E]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铝合金单元式玻璃幕墙</w:t>
            </w:r>
            <w:r>
              <w:rPr>
                <w:sz w:val="21"/>
                <w:szCs w:val="21"/>
              </w:rPr>
              <w:br w:type="textWrapping"/>
            </w:r>
            <w:r>
              <w:rPr>
                <w:sz w:val="21"/>
                <w:szCs w:val="21"/>
              </w:rPr>
              <w:t>玻璃为（8+12A+8）中空玻璃，共190厚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27.0</w:t>
            </w:r>
          </w:p>
        </w:tc>
        <w:tc>
          <w:tcPr>
            <w:vAlign w:val="center"/>
          </w:tcPr>
          <w:p>
            <w:pPr>
              <w:rPr>
                <w:sz w:val="21"/>
                <w:szCs w:val="21"/>
              </w:rPr>
            </w:pPr>
            <w:r>
              <w:rPr>
                <w:sz w:val="21"/>
                <w:szCs w:val="21"/>
              </w:rPr>
              <w:t>28.0</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w:t>
            </w:r>
          </w:p>
        </w:tc>
        <w:tc>
          <w:tcPr>
            <w:vAlign w:val="center"/>
          </w:tcPr>
          <w:p>
            <w:pPr>
              <w:rPr>
                <w:sz w:val="21"/>
                <w:szCs w:val="21"/>
              </w:rPr>
            </w:pPr>
            <w:r>
              <w:rPr>
                <w:sz w:val="21"/>
                <w:szCs w:val="21"/>
              </w:rPr>
              <w:t>3.0</w:t>
            </w:r>
          </w:p>
        </w:tc>
        <w:tc>
          <w:tcPr>
            <w:vAlign w:val="center"/>
          </w:tcPr>
          <w:p>
            <w:pPr>
              <w:rPr>
                <w:sz w:val="21"/>
                <w:szCs w:val="21"/>
              </w:rPr>
            </w:pPr>
            <w:r>
              <w:rPr>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113系列推拉聚酯合金增强塑料窗[5Low-E+9A+5+9A+5Low-E],80系列内平开聚酯合金增强塑料窗[5Low-E+12A+5+9A+5]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铝合金单元式玻璃幕墙</w:t>
            </w:r>
            <w:r>
              <w:rPr>
                <w:sz w:val="21"/>
                <w:szCs w:val="21"/>
              </w:rPr>
              <w:br w:type="textWrapping"/>
            </w:r>
            <w:r>
              <w:rPr>
                <w:sz w:val="21"/>
                <w:szCs w:val="21"/>
              </w:rPr>
              <w:t>玻璃为（8+12A+8）中空玻璃，共190厚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27.0</w:t>
            </w:r>
          </w:p>
        </w:tc>
        <w:tc>
          <w:tcPr>
            <w:vAlign w:val="center"/>
          </w:tcPr>
          <w:p>
            <w:pPr>
              <w:rPr>
                <w:sz w:val="21"/>
                <w:szCs w:val="21"/>
              </w:rPr>
            </w:pPr>
            <w:r>
              <w:rPr>
                <w:sz w:val="21"/>
                <w:szCs w:val="21"/>
              </w:rPr>
              <w:t>28.0</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w:t>
            </w:r>
          </w:p>
        </w:tc>
        <w:tc>
          <w:tcPr>
            <w:vAlign w:val="center"/>
          </w:tcPr>
          <w:p>
            <w:pPr>
              <w:rPr>
                <w:sz w:val="21"/>
                <w:szCs w:val="21"/>
              </w:rPr>
            </w:pPr>
            <w:r>
              <w:rPr>
                <w:sz w:val="21"/>
                <w:szCs w:val="21"/>
              </w:rPr>
              <w:t>3.0</w:t>
            </w:r>
          </w:p>
        </w:tc>
        <w:tc>
          <w:tcPr>
            <w:vAlign w:val="center"/>
          </w:tcPr>
          <w:p>
            <w:pPr>
              <w:rPr>
                <w:sz w:val="21"/>
                <w:szCs w:val="21"/>
              </w:rPr>
            </w:pPr>
            <w:r>
              <w:rPr>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18748"/>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构造参数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会议室(办公建筑)顶板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120mm＋混合砂浆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gridSpan w:val="5"/>
            <w:vAlign w:val="center"/>
          </w:tcPr>
          <w:p>
            <w:pPr>
              <w:rPr>
                <w:sz w:val="21"/>
                <w:szCs w:val="21"/>
              </w:rPr>
            </w:pPr>
            <w:r>
              <w:rPr>
                <w:sz w:val="21"/>
                <w:szCs w:val="21"/>
              </w:rPr>
              <w:t>双层150厚加气混凝土中空150厚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125Hz</w:t>
            </w:r>
          </w:p>
        </w:tc>
        <w:tc>
          <w:tcPr>
            <w:shd w:val="clear" w:color="auto" w:fill="E6E6E6"/>
            <w:vAlign w:val="center"/>
          </w:tcPr>
          <w:p>
            <w:pPr>
              <w:rPr>
                <w:sz w:val="21"/>
                <w:szCs w:val="21"/>
              </w:rPr>
            </w:pPr>
            <w:r>
              <w:rPr>
                <w:sz w:val="21"/>
                <w:szCs w:val="21"/>
              </w:rPr>
              <w:t>250Hz</w:t>
            </w:r>
          </w:p>
        </w:tc>
        <w:tc>
          <w:tcPr>
            <w:shd w:val="clear" w:color="auto" w:fill="E6E6E6"/>
            <w:vAlign w:val="center"/>
          </w:tcPr>
          <w:p>
            <w:pPr>
              <w:rPr>
                <w:sz w:val="21"/>
                <w:szCs w:val="21"/>
              </w:rPr>
            </w:pPr>
            <w:r>
              <w:rPr>
                <w:sz w:val="21"/>
                <w:szCs w:val="21"/>
              </w:rPr>
              <w:t>500Hz</w:t>
            </w:r>
          </w:p>
        </w:tc>
        <w:tc>
          <w:tcPr>
            <w:shd w:val="clear" w:color="auto" w:fill="E6E6E6"/>
            <w:vAlign w:val="center"/>
          </w:tcPr>
          <w:p>
            <w:pPr>
              <w:rPr>
                <w:sz w:val="21"/>
                <w:szCs w:val="21"/>
              </w:rPr>
            </w:pPr>
            <w:r>
              <w:rPr>
                <w:sz w:val="21"/>
                <w:szCs w:val="21"/>
              </w:rPr>
              <w:t>1000Hz</w:t>
            </w:r>
          </w:p>
        </w:tc>
        <w:tc>
          <w:tcPr>
            <w:shd w:val="clear" w:color="auto" w:fill="E6E6E6"/>
            <w:vAlign w:val="center"/>
          </w:tcPr>
          <w:p>
            <w:pPr>
              <w:rPr>
                <w:sz w:val="21"/>
                <w:szCs w:val="21"/>
              </w:rPr>
            </w:pPr>
            <w:r>
              <w:rPr>
                <w:sz w:val="21"/>
                <w:szCs w:val="21"/>
              </w:rP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36.0</w:t>
            </w:r>
          </w:p>
        </w:tc>
        <w:tc>
          <w:tcPr>
            <w:vAlign w:val="center"/>
          </w:tcPr>
          <w:p>
            <w:pPr>
              <w:rPr>
                <w:sz w:val="21"/>
                <w:szCs w:val="21"/>
              </w:rPr>
            </w:pPr>
            <w:r>
              <w:rPr>
                <w:sz w:val="21"/>
                <w:szCs w:val="21"/>
              </w:rPr>
              <w:t>39.0</w:t>
            </w:r>
          </w:p>
        </w:tc>
        <w:tc>
          <w:tcPr>
            <w:vAlign w:val="center"/>
          </w:tcPr>
          <w:p>
            <w:pPr>
              <w:rPr>
                <w:sz w:val="21"/>
                <w:szCs w:val="21"/>
              </w:rPr>
            </w:pPr>
            <w:r>
              <w:rPr>
                <w:sz w:val="21"/>
                <w:szCs w:val="21"/>
              </w:rPr>
              <w:t>46.0</w:t>
            </w:r>
          </w:p>
        </w:tc>
        <w:tc>
          <w:tcPr>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gridSpan w:val="5"/>
            <w:vAlign w:val="center"/>
          </w:tcPr>
          <w:p>
            <w:pPr>
              <w:rPr>
                <w:sz w:val="21"/>
                <w:szCs w:val="21"/>
              </w:rPr>
            </w:pPr>
            <w:r>
              <w:rPr>
                <w:sz w:val="21"/>
                <w:szCs w:val="21"/>
              </w:rPr>
              <w:t>《建筑隔声设计—空气声隔声技术》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gridSpan w:val="5"/>
            <w:vAlign w:val="center"/>
          </w:tcPr>
          <w:p>
            <w:pPr>
              <w:rPr>
                <w:sz w:val="21"/>
                <w:szCs w:val="21"/>
              </w:rPr>
            </w:pPr>
            <w:r>
              <w:rPr>
                <w:sz w:val="21"/>
                <w:szCs w:val="21"/>
              </w:rPr>
              <w:t>低限:&lt;75,高要求:&lt;65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办公室(办公建筑)顶板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20mm＋钢筋混凝土 120mm＋混合砂浆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gridSpan w:val="5"/>
            <w:vAlign w:val="center"/>
          </w:tcPr>
          <w:p>
            <w:pPr>
              <w:rPr>
                <w:sz w:val="21"/>
                <w:szCs w:val="21"/>
              </w:rPr>
            </w:pPr>
            <w:r>
              <w:rPr>
                <w:sz w:val="21"/>
                <w:szCs w:val="21"/>
              </w:rPr>
              <w:t>双层150厚加气混凝土中空150厚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125Hz</w:t>
            </w:r>
          </w:p>
        </w:tc>
        <w:tc>
          <w:tcPr>
            <w:shd w:val="clear" w:color="auto" w:fill="E6E6E6"/>
            <w:vAlign w:val="center"/>
          </w:tcPr>
          <w:p>
            <w:pPr>
              <w:rPr>
                <w:sz w:val="21"/>
                <w:szCs w:val="21"/>
              </w:rPr>
            </w:pPr>
            <w:r>
              <w:rPr>
                <w:sz w:val="21"/>
                <w:szCs w:val="21"/>
              </w:rPr>
              <w:t>250Hz</w:t>
            </w:r>
          </w:p>
        </w:tc>
        <w:tc>
          <w:tcPr>
            <w:shd w:val="clear" w:color="auto" w:fill="E6E6E6"/>
            <w:vAlign w:val="center"/>
          </w:tcPr>
          <w:p>
            <w:pPr>
              <w:rPr>
                <w:sz w:val="21"/>
                <w:szCs w:val="21"/>
              </w:rPr>
            </w:pPr>
            <w:r>
              <w:rPr>
                <w:sz w:val="21"/>
                <w:szCs w:val="21"/>
              </w:rPr>
              <w:t>500Hz</w:t>
            </w:r>
          </w:p>
        </w:tc>
        <w:tc>
          <w:tcPr>
            <w:shd w:val="clear" w:color="auto" w:fill="E6E6E6"/>
            <w:vAlign w:val="center"/>
          </w:tcPr>
          <w:p>
            <w:pPr>
              <w:rPr>
                <w:sz w:val="21"/>
                <w:szCs w:val="21"/>
              </w:rPr>
            </w:pPr>
            <w:r>
              <w:rPr>
                <w:sz w:val="21"/>
                <w:szCs w:val="21"/>
              </w:rPr>
              <w:t>1000Hz</w:t>
            </w:r>
          </w:p>
        </w:tc>
        <w:tc>
          <w:tcPr>
            <w:shd w:val="clear" w:color="auto" w:fill="E6E6E6"/>
            <w:vAlign w:val="center"/>
          </w:tcPr>
          <w:p>
            <w:pPr>
              <w:rPr>
                <w:sz w:val="21"/>
                <w:szCs w:val="21"/>
              </w:rPr>
            </w:pPr>
            <w:r>
              <w:rPr>
                <w:sz w:val="21"/>
                <w:szCs w:val="21"/>
              </w:rP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36.0</w:t>
            </w:r>
          </w:p>
        </w:tc>
        <w:tc>
          <w:tcPr>
            <w:vAlign w:val="center"/>
          </w:tcPr>
          <w:p>
            <w:pPr>
              <w:rPr>
                <w:sz w:val="21"/>
                <w:szCs w:val="21"/>
              </w:rPr>
            </w:pPr>
            <w:r>
              <w:rPr>
                <w:sz w:val="21"/>
                <w:szCs w:val="21"/>
              </w:rPr>
              <w:t>39.0</w:t>
            </w:r>
          </w:p>
        </w:tc>
        <w:tc>
          <w:tcPr>
            <w:vAlign w:val="center"/>
          </w:tcPr>
          <w:p>
            <w:pPr>
              <w:rPr>
                <w:sz w:val="21"/>
                <w:szCs w:val="21"/>
              </w:rPr>
            </w:pPr>
            <w:r>
              <w:rPr>
                <w:sz w:val="21"/>
                <w:szCs w:val="21"/>
              </w:rPr>
              <w:t>46.0</w:t>
            </w:r>
          </w:p>
        </w:tc>
        <w:tc>
          <w:tcPr>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gridSpan w:val="5"/>
            <w:vAlign w:val="center"/>
          </w:tcPr>
          <w:p>
            <w:pPr>
              <w:rPr>
                <w:sz w:val="21"/>
                <w:szCs w:val="21"/>
              </w:rPr>
            </w:pPr>
            <w:r>
              <w:rPr>
                <w:sz w:val="21"/>
                <w:szCs w:val="21"/>
              </w:rPr>
              <w:t>《建筑隔声设计—空气声隔声技术》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gridSpan w:val="5"/>
            <w:vAlign w:val="center"/>
          </w:tcPr>
          <w:p>
            <w:pPr>
              <w:rPr>
                <w:sz w:val="21"/>
                <w:szCs w:val="21"/>
              </w:rPr>
            </w:pPr>
            <w:r>
              <w:rPr>
                <w:sz w:val="21"/>
                <w:szCs w:val="21"/>
              </w:rPr>
              <w:t>低限:&lt;75,高要求:&lt;65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rPr>
          <w:lang w:val="en-US"/>
        </w:rPr>
      </w:pPr>
      <w:bookmarkStart w:id="49" w:name="撞击声隔声"/>
      <w:bookmarkEnd w:id="49"/>
    </w:p>
    <w:p>
      <w:pPr>
        <w:rPr>
          <w:sz w:val="21"/>
          <w:szCs w:val="21"/>
          <w:lang w:val="en-US"/>
        </w:rPr>
      </w:pPr>
    </w:p>
    <w:bookmarkEnd w:id="25"/>
    <w:p>
      <w:pPr>
        <w:pStyle w:val="2"/>
        <w:ind w:left="669" w:hanging="669"/>
        <w:rPr>
          <w:kern w:val="2"/>
        </w:rPr>
      </w:pPr>
      <w:bookmarkStart w:id="50" w:name="_Toc25173"/>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单值评价量+频谱修正量</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会议室(办公建筑)与普通房间之间隔墙</w:t>
            </w:r>
          </w:p>
        </w:tc>
        <w:tc>
          <w:tcPr>
            <w:vAlign w:val="center"/>
          </w:tcPr>
          <w:p>
            <w:pPr>
              <w:rPr>
                <w:sz w:val="21"/>
                <w:szCs w:val="21"/>
              </w:rPr>
            </w:pPr>
            <w:r>
              <w:rPr>
                <w:b/>
                <w:sz w:val="21"/>
                <w:szCs w:val="21"/>
              </w:rPr>
              <w:t>51</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办公室(办公建筑)与普通房间之间隔墙</w:t>
            </w:r>
          </w:p>
        </w:tc>
        <w:tc>
          <w:tcPr>
            <w:vAlign w:val="center"/>
          </w:tcPr>
          <w:p>
            <w:pPr>
              <w:rPr>
                <w:sz w:val="21"/>
                <w:szCs w:val="21"/>
              </w:rPr>
            </w:pPr>
            <w:r>
              <w:rPr>
                <w:b/>
                <w:sz w:val="21"/>
                <w:szCs w:val="21"/>
              </w:rPr>
              <w:t>51</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会议室(办公建筑)与普通房间之间楼板</w:t>
            </w:r>
          </w:p>
        </w:tc>
        <w:tc>
          <w:tcPr>
            <w:vAlign w:val="center"/>
          </w:tcPr>
          <w:p>
            <w:pPr>
              <w:rPr>
                <w:sz w:val="21"/>
                <w:szCs w:val="21"/>
              </w:rPr>
            </w:pPr>
            <w:r>
              <w:rPr>
                <w:b/>
                <w:sz w:val="21"/>
                <w:szCs w:val="21"/>
              </w:rPr>
              <w:t>56</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办公室(办公建筑)与普通房间之间楼板</w:t>
            </w:r>
          </w:p>
        </w:tc>
        <w:tc>
          <w:tcPr>
            <w:vAlign w:val="center"/>
          </w:tcPr>
          <w:p>
            <w:pPr>
              <w:rPr>
                <w:sz w:val="21"/>
                <w:szCs w:val="21"/>
              </w:rPr>
            </w:pPr>
            <w:r>
              <w:rPr>
                <w:b/>
                <w:sz w:val="21"/>
                <w:szCs w:val="21"/>
              </w:rPr>
              <w:t>56</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会议室(办公建筑)的门</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低限:≥20,高要求:≥25</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办公室(办公建筑)的门</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低限:≥20,高要求:≥25</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教学用房的其他外窗</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会议室(办公建筑)外窗</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办公室(办公建筑)外窗</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计权规范化撞击声压级</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会议室(办公建筑)顶板</w:t>
            </w:r>
          </w:p>
        </w:tc>
        <w:tc>
          <w:tcPr>
            <w:vAlign w:val="center"/>
          </w:tcPr>
          <w:p>
            <w:pPr>
              <w:rPr>
                <w:sz w:val="21"/>
                <w:szCs w:val="21"/>
              </w:rPr>
            </w:pPr>
            <w:r>
              <w:rPr>
                <w:b/>
                <w:sz w:val="21"/>
                <w:szCs w:val="21"/>
              </w:rPr>
              <w:t>55</w:t>
            </w:r>
          </w:p>
        </w:tc>
        <w:tc>
          <w:tcPr>
            <w:vAlign w:val="center"/>
          </w:tcPr>
          <w:p>
            <w:pPr>
              <w:rPr>
                <w:sz w:val="21"/>
                <w:szCs w:val="21"/>
              </w:rPr>
            </w:pPr>
            <w:r>
              <w:rPr>
                <w:sz w:val="21"/>
                <w:szCs w:val="21"/>
              </w:rPr>
              <w:t>低限:&lt;75,高要求:&lt;65</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办公室(办公建筑)顶板</w:t>
            </w:r>
          </w:p>
        </w:tc>
        <w:tc>
          <w:tcPr>
            <w:vAlign w:val="center"/>
          </w:tcPr>
          <w:p>
            <w:pPr>
              <w:rPr>
                <w:sz w:val="21"/>
                <w:szCs w:val="21"/>
              </w:rPr>
            </w:pPr>
            <w:r>
              <w:rPr>
                <w:b/>
                <w:sz w:val="21"/>
                <w:szCs w:val="21"/>
              </w:rPr>
              <w:t>55</w:t>
            </w:r>
          </w:p>
        </w:tc>
        <w:tc>
          <w:tcPr>
            <w:vAlign w:val="center"/>
          </w:tcPr>
          <w:p>
            <w:pPr>
              <w:rPr>
                <w:sz w:val="21"/>
                <w:szCs w:val="21"/>
              </w:rPr>
            </w:pPr>
            <w:r>
              <w:rPr>
                <w:sz w:val="21"/>
                <w:szCs w:val="21"/>
              </w:rPr>
              <w:t>低限:&lt;75,高要求:&lt;65</w:t>
            </w:r>
          </w:p>
        </w:tc>
        <w:tc>
          <w:tcPr>
            <w:vAlign w:val="center"/>
          </w:tcPr>
          <w:p>
            <w:pPr>
              <w:rPr>
                <w:sz w:val="21"/>
                <w:szCs w:val="21"/>
              </w:rPr>
            </w:pPr>
            <w:r>
              <w:rPr>
                <w:b/>
                <w:sz w:val="21"/>
                <w:szCs w:val="21"/>
              </w:rPr>
              <w:t>满足高要求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 50378-2019和《民用建筑隔声设计规范》GB 50118-</w:t>
      </w:r>
    </w:p>
    <w:p>
      <w:pPr>
        <w:pStyle w:val="3"/>
        <w:rPr>
          <w:rFonts w:ascii="宋体" w:hAnsi="宋体"/>
        </w:rPr>
      </w:pPr>
      <w:r>
        <w:t>2010评价要求，可</w:t>
      </w:r>
      <w:r>
        <w:rPr>
          <w:rFonts w:hint="eastAsia" w:ascii="宋体" w:hAnsi="宋体"/>
        </w:rPr>
        <w:t>得围护结构隔声评价结果及得分情况如下表：</w:t>
      </w:r>
    </w:p>
    <w:p>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sz w:val="21"/>
                <w:szCs w:val="21"/>
              </w:rPr>
            </w:pPr>
            <w:r>
              <w:rPr>
                <w:bCs/>
                <w:sz w:val="21"/>
                <w:szCs w:val="21"/>
              </w:rPr>
              <w:t>检查项</w:t>
            </w:r>
          </w:p>
        </w:tc>
        <w:tc>
          <w:tcPr>
            <w:tcW w:w="5669" w:type="dxa"/>
            <w:shd w:val="clear" w:color="auto" w:fill="E6E6E6"/>
          </w:tcPr>
          <w:p>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pPr>
              <w:jc w:val="center"/>
              <w:rPr>
                <w:bCs/>
                <w:sz w:val="21"/>
                <w:szCs w:val="21"/>
              </w:rPr>
            </w:pPr>
            <w:r>
              <w:rPr>
                <w:bCs/>
                <w:sz w:val="21"/>
                <w:szCs w:val="21"/>
              </w:rPr>
              <w:t>结论</w:t>
            </w:r>
          </w:p>
        </w:tc>
        <w:tc>
          <w:tcPr>
            <w:tcW w:w="737" w:type="dxa"/>
            <w:shd w:val="clear" w:color="auto" w:fill="E6E6E6"/>
            <w:vAlign w:val="center"/>
          </w:tcPr>
          <w:p>
            <w:pPr>
              <w:jc w:val="center"/>
              <w:rPr>
                <w:bCs/>
                <w:sz w:val="21"/>
                <w:szCs w:val="21"/>
              </w:rPr>
            </w:pPr>
            <w:r>
              <w:rPr>
                <w:bCs/>
                <w:sz w:val="21"/>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pPr>
            <w:r>
              <w:rPr>
                <w:rFonts w:hint="eastAsia"/>
              </w:rPr>
              <w:t>空气声隔声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pPr>
              <w:jc w:val="center"/>
              <w:rPr>
                <w:b/>
                <w:bCs/>
                <w:sz w:val="21"/>
                <w:szCs w:val="21"/>
                <w:lang w:val="en-US"/>
              </w:rPr>
            </w:pP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pPr>
          </w:p>
        </w:tc>
        <w:tc>
          <w:tcPr>
            <w:tcW w:w="5669" w:type="dxa"/>
          </w:tcPr>
          <w:p>
            <w:pPr>
              <w:pStyle w:val="3"/>
            </w:pPr>
            <w:r>
              <w:rPr>
                <w:rFonts w:hint="eastAsia"/>
              </w:rPr>
              <w:t>评分项：</w:t>
            </w:r>
          </w:p>
          <w:p>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pPr>
            <w:r>
              <w:rPr>
                <w:rFonts w:hint="eastAsia"/>
              </w:rPr>
              <w:t>撞击声隔声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pPr>
              <w:jc w:val="center"/>
              <w:rPr>
                <w:b/>
                <w:bCs/>
                <w:sz w:val="21"/>
                <w:szCs w:val="21"/>
                <w:lang w:val="en-US"/>
              </w:rPr>
            </w:pPr>
            <w:r>
              <w:rPr>
                <w:rFonts w:hint="eastAsia"/>
                <w:b/>
                <w:bCs/>
                <w:sz w:val="21"/>
                <w:szCs w:val="21"/>
                <w:lang w:val="en-US"/>
              </w:rPr>
              <w:t>-</w:t>
            </w: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pPr>
          </w:p>
        </w:tc>
        <w:tc>
          <w:tcPr>
            <w:tcW w:w="5669" w:type="dxa"/>
          </w:tcPr>
          <w:p>
            <w:pPr>
              <w:pStyle w:val="3"/>
            </w:pPr>
            <w:r>
              <w:rPr>
                <w:rFonts w:hint="eastAsia"/>
              </w:rPr>
              <w:t>评分项：</w:t>
            </w:r>
          </w:p>
          <w:p>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800F2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1C800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tmp11.dotx</Template>
  <Pages>15</Pages>
  <Words>6230</Words>
  <Characters>8058</Characters>
  <Lines>47</Lines>
  <Paragraphs>13</Paragraphs>
  <TotalTime>0</TotalTime>
  <ScaleCrop>false</ScaleCrop>
  <LinksUpToDate>false</LinksUpToDate>
  <CharactersWithSpaces>8538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2024-12-24T09:06:00Z</dcterms:created>
  <dc:creator>朝歌.</dc:creator>
  <cp:lastModifiedBy>朝歌.</cp:lastModifiedBy>
  <dcterms:modified xsi:type="dcterms:W3CDTF">2024-12-24T09:06:39Z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