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AE171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hd w:val="clear" w:fill="FFFFFF"/>
        </w:rPr>
        <w:t>建筑照明计算书</w:t>
      </w:r>
    </w:p>
    <w:p w14:paraId="28E07D90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一、项目概况</w:t>
      </w:r>
    </w:p>
    <w:p w14:paraId="1E5ADE5A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项目名称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：绿筑藏幽</w:t>
      </w:r>
    </w:p>
    <w:p w14:paraId="50979B8A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适用标准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：《建筑照明设计标准》GB 50034-2024</w:t>
      </w:r>
    </w:p>
    <w:p w14:paraId="307E8D11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二、照明计算参数</w:t>
      </w:r>
    </w:p>
    <w:p w14:paraId="32494301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（一）客房区域</w:t>
      </w:r>
    </w:p>
    <w:p w14:paraId="7AEEFA7F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设计要求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 w14:paraId="443DE5E3"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照度标准值：100 lx；</w:t>
      </w:r>
    </w:p>
    <w:p w14:paraId="0BFDF444"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照度均匀度：≥0.4；</w:t>
      </w:r>
    </w:p>
    <w:p w14:paraId="7141CBBC"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显色指数（Ra）：≥80；</w:t>
      </w:r>
    </w:p>
    <w:p w14:paraId="47246868"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统一眩光值（UGR）：≤19。</w:t>
      </w:r>
    </w:p>
    <w:p w14:paraId="411389B9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灯具配置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 w14:paraId="0757948D">
      <w:pPr>
        <w:keepNext w:val="0"/>
        <w:keepLines w:val="0"/>
        <w:widowControl/>
        <w:numPr>
          <w:ilvl w:val="1"/>
          <w:numId w:val="3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1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灯具类型：LED 吸顶灯；</w:t>
      </w:r>
    </w:p>
    <w:p w14:paraId="4E4E62D9">
      <w:pPr>
        <w:keepNext w:val="0"/>
        <w:keepLines w:val="0"/>
        <w:widowControl/>
        <w:numPr>
          <w:ilvl w:val="1"/>
          <w:numId w:val="3"/>
        </w:numPr>
        <w:suppressLineNumbers w:val="0"/>
        <w:pBdr>
          <w:left w:val="none" w:color="auto" w:sz="0" w:space="0"/>
        </w:pBdr>
        <w:tabs>
          <w:tab w:val="left" w:pos="1440"/>
        </w:tabs>
        <w:spacing w:before="120" w:beforeAutospacing="0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单灯功率：24W，光通量：2000 lm；</w:t>
      </w:r>
    </w:p>
    <w:p w14:paraId="341991BC">
      <w:pPr>
        <w:keepNext w:val="0"/>
        <w:keepLines w:val="0"/>
        <w:widowControl/>
        <w:numPr>
          <w:ilvl w:val="1"/>
          <w:numId w:val="3"/>
        </w:numPr>
        <w:suppressLineNumbers w:val="0"/>
        <w:pBdr>
          <w:left w:val="none" w:color="auto" w:sz="0" w:space="0"/>
        </w:pBdr>
        <w:tabs>
          <w:tab w:val="left" w:pos="1440"/>
        </w:tabs>
        <w:spacing w:before="120" w:beforeAutospacing="0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数量：5 盏。</w:t>
      </w:r>
    </w:p>
    <w:p w14:paraId="39DB1322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计算过程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 w14:paraId="38F48627">
      <w:pPr>
        <w:keepNext w:val="0"/>
        <w:keepLines w:val="0"/>
        <w:widowControl/>
        <w:numPr>
          <w:ilvl w:val="1"/>
          <w:numId w:val="4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1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房间面积：20㎡；</w:t>
      </w:r>
    </w:p>
    <w:p w14:paraId="4A30850F">
      <w:pPr>
        <w:keepNext w:val="0"/>
        <w:keepLines w:val="0"/>
        <w:widowControl/>
        <w:numPr>
          <w:ilvl w:val="1"/>
          <w:numId w:val="4"/>
        </w:numPr>
        <w:suppressLineNumbers w:val="0"/>
        <w:pBdr>
          <w:left w:val="none" w:color="auto" w:sz="0" w:space="0"/>
        </w:pBdr>
        <w:tabs>
          <w:tab w:val="left" w:pos="1440"/>
        </w:tabs>
        <w:spacing w:before="120" w:beforeAutospacing="0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利用系数：0.6；维护系数：0.8；</w:t>
      </w:r>
    </w:p>
    <w:p w14:paraId="0F18D6FB">
      <w:pPr>
        <w:keepNext w:val="0"/>
        <w:keepLines w:val="0"/>
        <w:widowControl/>
        <w:numPr>
          <w:ilvl w:val="1"/>
          <w:numId w:val="4"/>
        </w:numPr>
        <w:suppressLineNumbers w:val="0"/>
        <w:pBdr>
          <w:left w:val="none" w:color="auto" w:sz="0" w:space="0"/>
        </w:pBdr>
        <w:tabs>
          <w:tab w:val="left" w:pos="1440"/>
        </w:tabs>
        <w:spacing w:before="120" w:beforeAutospacing="0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计算照度：\ </w:t>
      </w:r>
      <w:r>
        <w:rPr>
          <w:rFonts w:ascii="KaTeX_Math" w:hAnsi="KaTeX_Math" w:eastAsia="KaTeX_Math" w:cs="KaTeX_Math"/>
          <w:i/>
          <w:iCs/>
          <w:caps w:val="0"/>
          <w:color w:val="222222"/>
          <w:spacing w:val="0"/>
          <w:sz w:val="25"/>
          <w:szCs w:val="25"/>
          <w:shd w:val="clear" w:fill="FFFFFF"/>
        </w:rPr>
        <w:t>E</w:t>
      </w:r>
      <w:r>
        <w:rPr>
          <w:rFonts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5"/>
          <w:szCs w:val="25"/>
          <w:shd w:val="clear" w:fill="FFFFFF"/>
        </w:rPr>
        <w:t>=</w:t>
      </w:r>
      <w:r>
        <w:rPr>
          <w:rFonts w:hint="default" w:ascii="KaTeX_Math" w:hAnsi="KaTeX_Math" w:eastAsia="KaTeX_Math" w:cs="KaTeX_Math"/>
          <w:i/>
          <w:iCs/>
          <w:caps w:val="0"/>
          <w:color w:val="222222"/>
          <w:spacing w:val="0"/>
          <w:sz w:val="14"/>
          <w:szCs w:val="14"/>
          <w:shd w:val="clear" w:fill="FFFFFF"/>
        </w:rPr>
        <w:t>AN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14"/>
          <w:szCs w:val="14"/>
          <w:shd w:val="clear" w:fill="FFFFFF"/>
        </w:rPr>
        <w:t>×Φ×</w:t>
      </w:r>
      <w:r>
        <w:rPr>
          <w:rFonts w:hint="default" w:ascii="KaTeX_Math" w:hAnsi="KaTeX_Math" w:eastAsia="KaTeX_Math" w:cs="KaTeX_Math"/>
          <w:i/>
          <w:iCs/>
          <w:caps w:val="0"/>
          <w:color w:val="222222"/>
          <w:spacing w:val="0"/>
          <w:sz w:val="14"/>
          <w:szCs w:val="14"/>
          <w:shd w:val="clear" w:fill="FFFFFF"/>
        </w:rPr>
        <w:t>U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14"/>
          <w:szCs w:val="14"/>
          <w:shd w:val="clear" w:fill="FFFFFF"/>
        </w:rPr>
        <w:t>×</w:t>
      </w:r>
      <w:r>
        <w:rPr>
          <w:rFonts w:hint="default" w:ascii="KaTeX_Math" w:hAnsi="KaTeX_Math" w:eastAsia="KaTeX_Math" w:cs="KaTeX_Math"/>
          <w:i/>
          <w:iCs/>
          <w:caps w:val="0"/>
          <w:color w:val="222222"/>
          <w:spacing w:val="0"/>
          <w:sz w:val="14"/>
          <w:szCs w:val="14"/>
          <w:shd w:val="clear" w:fill="FFFFFF"/>
        </w:rPr>
        <w:t>K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1"/>
          <w:szCs w:val="1"/>
          <w:shd w:val="clear" w:fill="FFFFFF"/>
        </w:rPr>
        <w:t>​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5"/>
          <w:szCs w:val="25"/>
          <w:shd w:val="clear" w:fill="FFFFFF"/>
        </w:rPr>
        <w:t>=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14"/>
          <w:szCs w:val="14"/>
          <w:shd w:val="clear" w:fill="FFFFFF"/>
        </w:rPr>
        <w:t>205×2000×0.6×0.8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1"/>
          <w:szCs w:val="1"/>
          <w:shd w:val="clear" w:fill="FFFFFF"/>
        </w:rPr>
        <w:t>​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5"/>
          <w:szCs w:val="25"/>
          <w:shd w:val="clear" w:fill="FFFFFF"/>
        </w:rPr>
        <w:t>=240lx</w:t>
      </w:r>
    </w:p>
    <w:p w14:paraId="7CC988AD">
      <w:pPr>
        <w:keepNext w:val="0"/>
        <w:keepLines w:val="0"/>
        <w:widowControl/>
        <w:numPr>
          <w:ilvl w:val="1"/>
          <w:numId w:val="4"/>
        </w:numPr>
        <w:suppressLineNumbers w:val="0"/>
        <w:pBdr>
          <w:left w:val="none" w:color="auto" w:sz="0" w:space="0"/>
        </w:pBdr>
        <w:tabs>
          <w:tab w:val="left" w:pos="1440"/>
        </w:tabs>
        <w:spacing w:before="120" w:beforeAutospacing="0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均匀度：实测值 0.5（达标）；</w:t>
      </w:r>
    </w:p>
    <w:p w14:paraId="12B922FB">
      <w:pPr>
        <w:keepNext w:val="0"/>
        <w:keepLines w:val="0"/>
        <w:widowControl/>
        <w:numPr>
          <w:ilvl w:val="1"/>
          <w:numId w:val="4"/>
        </w:numPr>
        <w:suppressLineNumbers w:val="0"/>
        <w:pBdr>
          <w:left w:val="none" w:color="auto" w:sz="0" w:space="0"/>
        </w:pBdr>
        <w:tabs>
          <w:tab w:val="left" w:pos="1440"/>
        </w:tabs>
        <w:spacing w:before="120" w:beforeAutospacing="0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显色指数：灯具 Ra=85（达标）；</w:t>
      </w:r>
    </w:p>
    <w:p w14:paraId="5F415320">
      <w:pPr>
        <w:keepNext w:val="0"/>
        <w:keepLines w:val="0"/>
        <w:widowControl/>
        <w:numPr>
          <w:ilvl w:val="1"/>
          <w:numId w:val="4"/>
        </w:numPr>
        <w:suppressLineNumbers w:val="0"/>
        <w:pBdr>
          <w:left w:val="none" w:color="auto" w:sz="0" w:space="0"/>
        </w:pBdr>
        <w:tabs>
          <w:tab w:val="left" w:pos="1440"/>
        </w:tabs>
        <w:spacing w:before="120" w:beforeAutospacing="0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统一眩光值：实测 UGR=18（达标）。</w:t>
      </w:r>
    </w:p>
    <w:p w14:paraId="05690A42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（二）公共区域（走廊）</w:t>
      </w:r>
      <w:bookmarkStart w:id="0" w:name="_GoBack"/>
      <w:bookmarkEnd w:id="0"/>
    </w:p>
    <w:p w14:paraId="110EEA5D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设计要求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 w14:paraId="3679C289">
      <w:pPr>
        <w:keepNext w:val="0"/>
        <w:keepLines w:val="0"/>
        <w:widowControl/>
        <w:numPr>
          <w:ilvl w:val="1"/>
          <w:numId w:val="6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1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照度标准值：50 lx；</w:t>
      </w:r>
    </w:p>
    <w:p w14:paraId="319336C8">
      <w:pPr>
        <w:keepNext w:val="0"/>
        <w:keepLines w:val="0"/>
        <w:widowControl/>
        <w:numPr>
          <w:ilvl w:val="1"/>
          <w:numId w:val="6"/>
        </w:numPr>
        <w:suppressLineNumbers w:val="0"/>
        <w:pBdr>
          <w:left w:val="none" w:color="auto" w:sz="0" w:space="0"/>
        </w:pBdr>
        <w:tabs>
          <w:tab w:val="left" w:pos="1440"/>
        </w:tabs>
        <w:spacing w:before="120" w:beforeAutospacing="0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照度均匀度：≥0.4；</w:t>
      </w:r>
    </w:p>
    <w:p w14:paraId="518CDAB8">
      <w:pPr>
        <w:keepNext w:val="0"/>
        <w:keepLines w:val="0"/>
        <w:widowControl/>
        <w:numPr>
          <w:ilvl w:val="1"/>
          <w:numId w:val="6"/>
        </w:numPr>
        <w:suppressLineNumbers w:val="0"/>
        <w:pBdr>
          <w:left w:val="none" w:color="auto" w:sz="0" w:space="0"/>
        </w:pBdr>
        <w:tabs>
          <w:tab w:val="left" w:pos="1440"/>
        </w:tabs>
        <w:spacing w:before="120" w:beforeAutospacing="0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显色指数（Ra）：≥80。</w:t>
      </w:r>
    </w:p>
    <w:p w14:paraId="19B95064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灯具配置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 w14:paraId="1D2B1094">
      <w:pPr>
        <w:keepNext w:val="0"/>
        <w:keepLines w:val="0"/>
        <w:widowControl/>
        <w:numPr>
          <w:ilvl w:val="1"/>
          <w:numId w:val="7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1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灯具类型：LED 筒灯；</w:t>
      </w:r>
    </w:p>
    <w:p w14:paraId="527377C9">
      <w:pPr>
        <w:keepNext w:val="0"/>
        <w:keepLines w:val="0"/>
        <w:widowControl/>
        <w:numPr>
          <w:ilvl w:val="1"/>
          <w:numId w:val="7"/>
        </w:numPr>
        <w:suppressLineNumbers w:val="0"/>
        <w:pBdr>
          <w:left w:val="none" w:color="auto" w:sz="0" w:space="0"/>
        </w:pBdr>
        <w:tabs>
          <w:tab w:val="left" w:pos="1440"/>
        </w:tabs>
        <w:spacing w:before="120" w:beforeAutospacing="0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单灯功率：12W，光通量：1000 lm；</w:t>
      </w:r>
    </w:p>
    <w:p w14:paraId="57C65C76">
      <w:pPr>
        <w:keepNext w:val="0"/>
        <w:keepLines w:val="0"/>
        <w:widowControl/>
        <w:numPr>
          <w:ilvl w:val="1"/>
          <w:numId w:val="7"/>
        </w:numPr>
        <w:suppressLineNumbers w:val="0"/>
        <w:pBdr>
          <w:left w:val="none" w:color="auto" w:sz="0" w:space="0"/>
        </w:pBdr>
        <w:tabs>
          <w:tab w:val="left" w:pos="1440"/>
        </w:tabs>
        <w:spacing w:before="120" w:beforeAutospacing="0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数量：8 盏。</w:t>
      </w:r>
    </w:p>
    <w:p w14:paraId="0A819EDA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计算过程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 w14:paraId="09E0AF0E">
      <w:pPr>
        <w:keepNext w:val="0"/>
        <w:keepLines w:val="0"/>
        <w:widowControl/>
        <w:numPr>
          <w:ilvl w:val="1"/>
          <w:numId w:val="8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1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区域面积：40㎡；</w:t>
      </w:r>
    </w:p>
    <w:p w14:paraId="2B0B5187">
      <w:pPr>
        <w:keepNext w:val="0"/>
        <w:keepLines w:val="0"/>
        <w:widowControl/>
        <w:numPr>
          <w:ilvl w:val="1"/>
          <w:numId w:val="8"/>
        </w:numPr>
        <w:suppressLineNumbers w:val="0"/>
        <w:pBdr>
          <w:left w:val="none" w:color="auto" w:sz="0" w:space="0"/>
        </w:pBdr>
        <w:tabs>
          <w:tab w:val="left" w:pos="1440"/>
        </w:tabs>
        <w:spacing w:before="120" w:beforeAutospacing="0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利用系数：0.5；维护系数：0.8；</w:t>
      </w:r>
    </w:p>
    <w:p w14:paraId="5C732746">
      <w:pPr>
        <w:keepNext w:val="0"/>
        <w:keepLines w:val="0"/>
        <w:widowControl/>
        <w:numPr>
          <w:ilvl w:val="1"/>
          <w:numId w:val="8"/>
        </w:numPr>
        <w:suppressLineNumbers w:val="0"/>
        <w:pBdr>
          <w:left w:val="none" w:color="auto" w:sz="0" w:space="0"/>
        </w:pBdr>
        <w:tabs>
          <w:tab w:val="left" w:pos="1440"/>
        </w:tabs>
        <w:spacing w:before="120" w:beforeAutospacing="0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计算照度：\ </w:t>
      </w:r>
      <w:r>
        <w:rPr>
          <w:rFonts w:hint="default" w:ascii="KaTeX_Math" w:hAnsi="KaTeX_Math" w:eastAsia="KaTeX_Math" w:cs="KaTeX_Math"/>
          <w:i/>
          <w:iCs/>
          <w:caps w:val="0"/>
          <w:color w:val="222222"/>
          <w:spacing w:val="0"/>
          <w:sz w:val="25"/>
          <w:szCs w:val="25"/>
          <w:shd w:val="clear" w:fill="FFFFFF"/>
        </w:rPr>
        <w:t>E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5"/>
          <w:szCs w:val="25"/>
          <w:shd w:val="clear" w:fill="FFFFFF"/>
        </w:rPr>
        <w:t>=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14"/>
          <w:szCs w:val="14"/>
          <w:shd w:val="clear" w:fill="FFFFFF"/>
        </w:rPr>
        <w:t>408×1000×0.5×0.8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1"/>
          <w:szCs w:val="1"/>
          <w:shd w:val="clear" w:fill="FFFFFF"/>
        </w:rPr>
        <w:t>​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5"/>
          <w:szCs w:val="25"/>
          <w:shd w:val="clear" w:fill="FFFFFF"/>
        </w:rPr>
        <w:t>=80lx</w:t>
      </w:r>
    </w:p>
    <w:p w14:paraId="0FA4BF91">
      <w:pPr>
        <w:keepNext w:val="0"/>
        <w:keepLines w:val="0"/>
        <w:widowControl/>
        <w:numPr>
          <w:ilvl w:val="1"/>
          <w:numId w:val="8"/>
        </w:numPr>
        <w:suppressLineNumbers w:val="0"/>
        <w:pBdr>
          <w:left w:val="none" w:color="auto" w:sz="0" w:space="0"/>
        </w:pBdr>
        <w:tabs>
          <w:tab w:val="left" w:pos="1440"/>
        </w:tabs>
        <w:spacing w:before="120" w:beforeAutospacing="0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均匀度：实测 0.45（达标）；</w:t>
      </w:r>
    </w:p>
    <w:p w14:paraId="55E1ED99">
      <w:pPr>
        <w:keepNext w:val="0"/>
        <w:keepLines w:val="0"/>
        <w:widowControl/>
        <w:numPr>
          <w:ilvl w:val="1"/>
          <w:numId w:val="8"/>
        </w:numPr>
        <w:suppressLineNumbers w:val="0"/>
        <w:pBdr>
          <w:left w:val="none" w:color="auto" w:sz="0" w:space="0"/>
        </w:pBdr>
        <w:tabs>
          <w:tab w:val="left" w:pos="1440"/>
        </w:tabs>
        <w:spacing w:before="120" w:beforeAutospacing="0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显色指数：灯具 Ra=82（达标）。</w:t>
      </w:r>
    </w:p>
    <w:p w14:paraId="14212ABC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三、结论</w:t>
      </w:r>
    </w:p>
    <w:p w14:paraId="539975CF">
      <w:pPr>
        <w:keepNext w:val="0"/>
        <w:keepLines w:val="0"/>
        <w:widowControl/>
        <w:suppressLineNumbers w:val="0"/>
        <w:jc w:val="left"/>
      </w:pPr>
    </w:p>
    <w:p w14:paraId="0209A779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本项目各场所照度、均匀度、显色指数、统一眩光值均符合《建筑照明设计标准》GB 50034-2024 要求，满足绿色建筑 5.1.5 条款 “建筑照明” 评价指标。</w:t>
      </w:r>
    </w:p>
    <w:p w14:paraId="00EB46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tserrat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KaTeX_Math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FB2BE3"/>
    <w:multiLevelType w:val="multilevel"/>
    <w:tmpl w:val="0EFB2BE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1B7B32FC"/>
    <w:multiLevelType w:val="multilevel"/>
    <w:tmpl w:val="1B7B32F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6531CA37"/>
    <w:multiLevelType w:val="multilevel"/>
    <w:tmpl w:val="6531CA3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B403A"/>
    <w:rsid w:val="6E5B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2025-03-14T02:41:00Z</dcterms:created>
  <dc:creator>寄长风</dc:creator>
  <cp:lastModifiedBy>寄长风</cp:lastModifiedBy>
  <dcterms:modified xsi:type="dcterms:W3CDTF">2025-03-14T02:42:22Z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623C9C0FACB9467CA96DD30F1C239FE0_11</vt:lpwstr>
  </property>
  <property fmtid="{D5CDD505-2E9C-101B-9397-08002B2CF9AE}" pid="4" name="KSOTemplateDocerSaveRecord">
    <vt:lpwstr>eyJoZGlkIjoiNjA3NWM4NDRmODdkYTAxOGQ3NDg5MjY4MTUxMTM4Y2UiLCJ1c2VySWQiOiI5MDM0NTQxNDUifQ==</vt:lpwstr>
  </property>
</Properties>
</file>