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双碳目标下的工业遗存与学习空间的创新融合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6704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9505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