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AB794">
      <w:pPr>
        <w:widowControl w:val="0"/>
        <w:spacing w:after="312" w:afterLines="100"/>
        <w:ind w:left="180" w:right="180" w:firstLine="600"/>
        <w:rPr>
          <w:rFonts w:hint="eastAsia"/>
          <w:b/>
          <w:bCs/>
          <w:kern w:val="2"/>
          <w:sz w:val="30"/>
          <w:szCs w:val="24"/>
          <w:lang w:val="en-US"/>
        </w:rPr>
      </w:pPr>
    </w:p>
    <w:p w14:paraId="5BF19077">
      <w:pPr>
        <w:spacing w:before="312" w:beforeLines="100" w:line="180" w:lineRule="atLeast"/>
        <w:ind w:left="180" w:right="180"/>
        <w:rPr>
          <w:rFonts w:hint="eastAsia"/>
          <w:b/>
          <w:bCs/>
          <w:sz w:val="72"/>
          <w:szCs w:val="72"/>
        </w:rPr>
      </w:pPr>
    </w:p>
    <w:p w14:paraId="5D400E0E">
      <w:pPr>
        <w:spacing w:before="312" w:beforeLines="100" w:line="180" w:lineRule="atLeast"/>
        <w:ind w:left="180" w:right="180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不舒适眩光分析报告书</w:t>
      </w:r>
    </w:p>
    <w:p w14:paraId="7D680D58">
      <w:pPr>
        <w:spacing w:line="180" w:lineRule="atLeast"/>
        <w:ind w:left="180" w:right="180" w:firstLine="420"/>
        <w:rPr>
          <w:rFonts w:hint="eastAsia"/>
          <w:b/>
          <w:bCs/>
          <w:szCs w:val="21"/>
          <w:lang w:val="en-US"/>
        </w:rPr>
      </w:pPr>
    </w:p>
    <w:p w14:paraId="1BD4D624">
      <w:pPr>
        <w:spacing w:line="180" w:lineRule="atLeast"/>
        <w:ind w:left="180" w:right="180" w:firstLine="420"/>
        <w:rPr>
          <w:rFonts w:hint="eastAsia"/>
          <w:b/>
          <w:bCs/>
          <w:szCs w:val="21"/>
          <w:lang w:val="en-US"/>
        </w:rPr>
      </w:pPr>
    </w:p>
    <w:p w14:paraId="4F27EF94">
      <w:pPr>
        <w:spacing w:line="180" w:lineRule="atLeast"/>
        <w:ind w:left="180" w:right="180" w:firstLine="420"/>
        <w:rPr>
          <w:rFonts w:hint="eastAsia"/>
          <w:b/>
          <w:bCs/>
          <w:szCs w:val="21"/>
          <w:lang w:val="en-US"/>
        </w:rPr>
      </w:pPr>
    </w:p>
    <w:p w14:paraId="4A1EEC10">
      <w:pPr>
        <w:pStyle w:val="32"/>
        <w:rPr>
          <w:rFonts w:hint="eastAsia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5C69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F52FFDA">
            <w:pPr>
              <w:pStyle w:val="32"/>
              <w:rPr>
                <w:rFonts w:hint="eastAsia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4E2E0019">
            <w:pPr>
              <w:pStyle w:val="32"/>
              <w:jc w:val="center"/>
              <w:rPr>
                <w:rFonts w:hint="eastAsia"/>
              </w:rPr>
            </w:pPr>
            <w:bookmarkStart w:id="0" w:name="工程名称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青山碳霁</w:t>
            </w:r>
          </w:p>
        </w:tc>
      </w:tr>
      <w:tr w14:paraId="16DE3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EBD2938">
            <w:pPr>
              <w:pStyle w:val="32"/>
              <w:rPr>
                <w:rFonts w:hint="eastAsia"/>
              </w:rPr>
            </w:pPr>
            <w:r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79E30FB3">
            <w:pPr>
              <w:pStyle w:val="32"/>
              <w:jc w:val="center"/>
              <w:rPr>
                <w:rFonts w:hint="eastAsia"/>
              </w:rPr>
            </w:pPr>
            <w:bookmarkStart w:id="1" w:name="设计编号"/>
            <w:bookmarkEnd w:id="1"/>
          </w:p>
        </w:tc>
      </w:tr>
      <w:tr w14:paraId="0C7E0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5B2545A">
            <w:pPr>
              <w:pStyle w:val="32"/>
              <w:rPr>
                <w:rFonts w:hint="eastAsia"/>
              </w:rPr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055AEE8B">
            <w:pPr>
              <w:pStyle w:val="32"/>
              <w:jc w:val="center"/>
              <w:rPr>
                <w:rFonts w:hint="eastAsia"/>
              </w:rPr>
            </w:pPr>
            <w:bookmarkStart w:id="2" w:name="建设单位"/>
            <w:bookmarkEnd w:id="2"/>
          </w:p>
        </w:tc>
      </w:tr>
      <w:tr w14:paraId="64CE7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28B83F">
            <w:pPr>
              <w:pStyle w:val="32"/>
              <w:rPr>
                <w:rFonts w:hint="eastAsia"/>
              </w:rPr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67312E6A">
            <w:pPr>
              <w:pStyle w:val="32"/>
              <w:jc w:val="center"/>
              <w:rPr>
                <w:rFonts w:hint="eastAsia"/>
              </w:rPr>
            </w:pPr>
            <w:bookmarkStart w:id="3" w:name="设计单位"/>
            <w:bookmarkEnd w:id="3"/>
            <w:r>
              <w:rPr>
                <w:rFonts w:hint="eastAsia" w:ascii="宋体" w:hAnsi="宋体"/>
                <w:szCs w:val="21"/>
                <w:lang w:val="en-US" w:eastAsia="zh-CN"/>
              </w:rPr>
              <w:t>柴振国、刘云磊、赵一凡、李云龙</w:t>
            </w:r>
            <w:bookmarkStart w:id="55" w:name="_GoBack"/>
            <w:bookmarkEnd w:id="55"/>
          </w:p>
        </w:tc>
      </w:tr>
      <w:tr w14:paraId="52ADB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BAA9DB">
            <w:pPr>
              <w:pStyle w:val="32"/>
              <w:rPr>
                <w:rFonts w:hint="eastAsia"/>
              </w:rPr>
            </w:pPr>
            <w:r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171318DE">
            <w:pPr>
              <w:pStyle w:val="32"/>
              <w:jc w:val="center"/>
              <w:rPr>
                <w:rFonts w:hint="eastAsia"/>
              </w:rPr>
            </w:pPr>
            <w:bookmarkStart w:id="4" w:name="审核人"/>
            <w:bookmarkEnd w:id="4"/>
          </w:p>
        </w:tc>
      </w:tr>
      <w:tr w14:paraId="5F3CC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E16789A">
            <w:pPr>
              <w:pStyle w:val="32"/>
              <w:rPr>
                <w:rFonts w:hint="eastAsia"/>
              </w:rPr>
            </w:pPr>
            <w:r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6F1DA481">
            <w:pPr>
              <w:pStyle w:val="32"/>
              <w:jc w:val="center"/>
              <w:rPr>
                <w:rFonts w:hint="eastAsia"/>
              </w:rPr>
            </w:pPr>
            <w:bookmarkStart w:id="5" w:name="审定人"/>
            <w:bookmarkEnd w:id="5"/>
          </w:p>
        </w:tc>
      </w:tr>
      <w:tr w14:paraId="3D0E0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A8773CF">
            <w:pPr>
              <w:pStyle w:val="32"/>
              <w:rPr>
                <w:rFonts w:hint="eastAsia"/>
              </w:rPr>
            </w:pPr>
            <w:r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79729D6B">
            <w:pPr>
              <w:pStyle w:val="32"/>
              <w:jc w:val="center"/>
              <w:rPr>
                <w:rFonts w:hint="eastAsia"/>
              </w:rPr>
            </w:pPr>
            <w:bookmarkStart w:id="6" w:name="计算日期"/>
            <w:r>
              <w:t>2024年12月25日</w:t>
            </w:r>
            <w:bookmarkEnd w:id="6"/>
          </w:p>
        </w:tc>
      </w:tr>
    </w:tbl>
    <w:p w14:paraId="5F42BB5F">
      <w:pPr>
        <w:pStyle w:val="32"/>
        <w:rPr>
          <w:rFonts w:hint="eastAsia"/>
          <w:sz w:val="30"/>
          <w:szCs w:val="32"/>
        </w:rPr>
      </w:pPr>
    </w:p>
    <w:p w14:paraId="1E1B225A">
      <w:pPr>
        <w:pStyle w:val="32"/>
        <w:jc w:val="center"/>
        <w:rPr>
          <w:rFonts w:hint="eastAsia"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2019300" cy="20193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9512" cy="201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18D52">
      <w:pPr>
        <w:pStyle w:val="32"/>
        <w:jc w:val="center"/>
        <w:rPr>
          <w:rFonts w:hint="eastAsia"/>
          <w:sz w:val="30"/>
          <w:szCs w:val="32"/>
        </w:rPr>
      </w:pPr>
    </w:p>
    <w:p w14:paraId="60974639">
      <w:pPr>
        <w:pStyle w:val="32"/>
        <w:rPr>
          <w:rFonts w:hint="eastAsia"/>
          <w:sz w:val="30"/>
          <w:szCs w:val="32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4112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66DE4D5">
            <w:pPr>
              <w:pStyle w:val="32"/>
              <w:rPr>
                <w:rFonts w:hint="eastAsia"/>
              </w:rPr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60F076F9">
            <w:pPr>
              <w:pStyle w:val="32"/>
              <w:jc w:val="center"/>
              <w:rPr>
                <w:rFonts w:hint="eastAsia"/>
              </w:rPr>
            </w:pPr>
            <w:bookmarkStart w:id="8" w:name="采用软件"/>
            <w:r>
              <w:rPr>
                <w:rFonts w:hint="eastAsia"/>
              </w:rPr>
              <w:t>采光分析DALI2023维尔采光分析DALI</w:t>
            </w:r>
            <w:bookmarkEnd w:id="8"/>
          </w:p>
        </w:tc>
      </w:tr>
      <w:tr w14:paraId="40467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F029D0">
            <w:pPr>
              <w:pStyle w:val="32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3880CD08">
            <w:pPr>
              <w:pStyle w:val="32"/>
              <w:jc w:val="center"/>
              <w:rPr>
                <w:rFonts w:hint="eastAsia"/>
                <w:szCs w:val="18"/>
              </w:rPr>
            </w:pPr>
            <w:bookmarkStart w:id="9" w:name="软件版本"/>
            <w:r>
              <w:rPr>
                <w:szCs w:val="18"/>
              </w:rPr>
              <w:t>20220808</w:t>
            </w:r>
            <w:bookmarkEnd w:id="9"/>
          </w:p>
        </w:tc>
      </w:tr>
      <w:tr w14:paraId="21F95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A217D9A">
            <w:pPr>
              <w:pStyle w:val="32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1DC7821">
            <w:pPr>
              <w:pStyle w:val="32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北京绿建软件股份有限公司</w:t>
            </w:r>
          </w:p>
        </w:tc>
      </w:tr>
      <w:tr w14:paraId="07586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5442708">
            <w:pPr>
              <w:pStyle w:val="32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529A5FC2">
            <w:pPr>
              <w:pStyle w:val="32"/>
              <w:jc w:val="center"/>
              <w:rPr>
                <w:rFonts w:hint="eastAsia"/>
                <w:szCs w:val="18"/>
              </w:rPr>
            </w:pPr>
            <w:bookmarkStart w:id="10" w:name="正版授权码"/>
            <w:r>
              <w:t>T17708473286</w:t>
            </w:r>
            <w:bookmarkEnd w:id="10"/>
          </w:p>
        </w:tc>
      </w:tr>
      <w:tr w14:paraId="32D73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5771652">
            <w:pPr>
              <w:pStyle w:val="32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24A04080">
            <w:pPr>
              <w:pStyle w:val="32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3AC8F733">
      <w:pPr>
        <w:ind w:left="180" w:right="180" w:firstLine="420"/>
        <w:rPr>
          <w:rFonts w:hint="eastAsia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A17BF49">
      <w:pPr>
        <w:ind w:left="180" w:right="180" w:firstLine="560"/>
        <w:rPr>
          <w:rFonts w:hint="eastAsia"/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 w14:paraId="3C12262A">
      <w:pPr>
        <w:pStyle w:val="17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fldChar w:fldCharType="begin"/>
      </w:r>
      <w:r>
        <w:instrText xml:space="preserve"> HYPERLINK \l "_Toc186050888" </w:instrText>
      </w:r>
      <w:r>
        <w:fldChar w:fldCharType="separate"/>
      </w:r>
      <w:r>
        <w:rPr>
          <w:rStyle w:val="24"/>
          <w:rFonts w:hint="eastAsia"/>
        </w:rPr>
        <w:t>1.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4"/>
          <w:rFonts w:hint="eastAsia"/>
        </w:rPr>
        <w:t>建筑概况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_Toc186050888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F4F0083">
      <w:pPr>
        <w:pStyle w:val="17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"_Toc186050889" </w:instrText>
      </w:r>
      <w:r>
        <w:fldChar w:fldCharType="separate"/>
      </w:r>
      <w:r>
        <w:rPr>
          <w:rStyle w:val="24"/>
          <w:rFonts w:hint="eastAsia"/>
        </w:rPr>
        <w:t>2.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4"/>
          <w:rFonts w:hint="eastAsia"/>
        </w:rPr>
        <w:t>分析目的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_Toc186050889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4D3609B">
      <w:pPr>
        <w:pStyle w:val="17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"_Toc186050890" </w:instrText>
      </w:r>
      <w:r>
        <w:fldChar w:fldCharType="separate"/>
      </w:r>
      <w:r>
        <w:rPr>
          <w:rStyle w:val="24"/>
          <w:rFonts w:hint="eastAsia"/>
        </w:rPr>
        <w:t>3.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4"/>
          <w:rFonts w:hint="eastAsia"/>
        </w:rPr>
        <w:t>分析依据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_Toc186050890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C2DEAEF">
      <w:pPr>
        <w:pStyle w:val="18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"_Toc186050891" </w:instrText>
      </w:r>
      <w:r>
        <w:fldChar w:fldCharType="separate"/>
      </w:r>
      <w:r>
        <w:rPr>
          <w:rStyle w:val="24"/>
          <w:rFonts w:hint="eastAsia"/>
          <w:lang w:val="en-GB"/>
        </w:rPr>
        <w:t>3.1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  <w:rFonts w:hint="eastAsia"/>
        </w:rPr>
        <w:t>标准依据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_Toc186050891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89A9761">
      <w:pPr>
        <w:pStyle w:val="18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"_Toc186050892" </w:instrText>
      </w:r>
      <w:r>
        <w:fldChar w:fldCharType="separate"/>
      </w:r>
      <w:r>
        <w:rPr>
          <w:rStyle w:val="24"/>
          <w:rFonts w:hint="eastAsia"/>
          <w:lang w:val="en-GB"/>
        </w:rPr>
        <w:t>3.2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  <w:rFonts w:hint="eastAsia"/>
        </w:rPr>
        <w:t>标准要求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_Toc186050892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DAE6C28">
      <w:pPr>
        <w:pStyle w:val="17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"_Toc186050893" </w:instrText>
      </w:r>
      <w:r>
        <w:fldChar w:fldCharType="separate"/>
      </w:r>
      <w:r>
        <w:rPr>
          <w:rStyle w:val="24"/>
          <w:rFonts w:hint="eastAsia"/>
        </w:rPr>
        <w:t>4.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4"/>
          <w:rFonts w:hint="eastAsia"/>
        </w:rPr>
        <w:t>应用软件与计算方法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_Toc186050893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778278E">
      <w:pPr>
        <w:pStyle w:val="18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"_Toc186050894" </w:instrText>
      </w:r>
      <w:r>
        <w:fldChar w:fldCharType="separate"/>
      </w:r>
      <w:r>
        <w:rPr>
          <w:rStyle w:val="24"/>
          <w:rFonts w:hint="eastAsia"/>
          <w:lang w:val="en-GB"/>
        </w:rPr>
        <w:t>4.1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  <w:rFonts w:hint="eastAsia"/>
        </w:rPr>
        <w:t>软件选用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_Toc186050894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7923114">
      <w:pPr>
        <w:pStyle w:val="18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"_Toc186050895" </w:instrText>
      </w:r>
      <w:r>
        <w:fldChar w:fldCharType="separate"/>
      </w:r>
      <w:r>
        <w:rPr>
          <w:rStyle w:val="24"/>
          <w:rFonts w:hint="eastAsia"/>
          <w:lang w:val="en-GB"/>
        </w:rPr>
        <w:t>4.2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  <w:rFonts w:hint="eastAsia"/>
        </w:rPr>
        <w:t>计算原理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_Toc186050895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E71927A">
      <w:pPr>
        <w:pStyle w:val="17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"_Toc186050896" </w:instrText>
      </w:r>
      <w:r>
        <w:fldChar w:fldCharType="separate"/>
      </w:r>
      <w:r>
        <w:rPr>
          <w:rStyle w:val="24"/>
          <w:rFonts w:hint="eastAsia"/>
        </w:rPr>
        <w:t>5.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4"/>
          <w:rFonts w:hint="eastAsia"/>
        </w:rPr>
        <w:t>计算参数选用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_Toc186050896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60D0D5D">
      <w:pPr>
        <w:pStyle w:val="18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"_Toc186050897" </w:instrText>
      </w:r>
      <w:r>
        <w:fldChar w:fldCharType="separate"/>
      </w:r>
      <w:r>
        <w:rPr>
          <w:rStyle w:val="24"/>
          <w:rFonts w:hint="eastAsia"/>
          <w:lang w:val="en-GB"/>
        </w:rPr>
        <w:t>5.1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  <w:rFonts w:hint="eastAsia"/>
        </w:rPr>
        <w:t>模拟条件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_Toc186050897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DC687B8">
      <w:pPr>
        <w:pStyle w:val="18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"_Toc186050898" </w:instrText>
      </w:r>
      <w:r>
        <w:fldChar w:fldCharType="separate"/>
      </w:r>
      <w:r>
        <w:rPr>
          <w:rStyle w:val="24"/>
          <w:rFonts w:hint="eastAsia"/>
          <w:lang w:val="en-GB"/>
        </w:rPr>
        <w:t>5.2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  <w:rFonts w:hint="eastAsia"/>
        </w:rPr>
        <w:t>建筑饰面材料参数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_Toc186050898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4517D00">
      <w:pPr>
        <w:pStyle w:val="18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"_Toc186050899" </w:instrText>
      </w:r>
      <w:r>
        <w:fldChar w:fldCharType="separate"/>
      </w:r>
      <w:r>
        <w:rPr>
          <w:rStyle w:val="24"/>
          <w:rFonts w:hint="eastAsia"/>
          <w:lang w:val="en-GB"/>
        </w:rPr>
        <w:t>5.3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  <w:rFonts w:hint="eastAsia"/>
        </w:rPr>
        <w:t>门窗类型参数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_Toc186050899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5355D10">
      <w:pPr>
        <w:pStyle w:val="14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"_Toc186050900" </w:instrText>
      </w:r>
      <w:r>
        <w:fldChar w:fldCharType="separate"/>
      </w:r>
      <w:r>
        <w:rPr>
          <w:rStyle w:val="24"/>
          <w:rFonts w:hint="eastAsia"/>
          <w:lang w:val="en-GB"/>
        </w:rPr>
        <w:t>5.3.1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  <w:rFonts w:hint="eastAsia"/>
        </w:rPr>
        <w:t>普通窗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_Toc186050900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B401683">
      <w:pPr>
        <w:pStyle w:val="14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"_Toc186050901" </w:instrText>
      </w:r>
      <w:r>
        <w:fldChar w:fldCharType="separate"/>
      </w:r>
      <w:r>
        <w:rPr>
          <w:rStyle w:val="24"/>
          <w:rFonts w:hint="eastAsia"/>
          <w:lang w:val="en-GB"/>
        </w:rPr>
        <w:t>5.3.2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  <w:rFonts w:hint="eastAsia"/>
        </w:rPr>
        <w:t>天  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_Toc186050901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4AC886A">
      <w:pPr>
        <w:pStyle w:val="17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"_Toc186050902" </w:instrText>
      </w:r>
      <w:r>
        <w:fldChar w:fldCharType="separate"/>
      </w:r>
      <w:r>
        <w:rPr>
          <w:rStyle w:val="24"/>
          <w:rFonts w:hint="eastAsia"/>
        </w:rPr>
        <w:t>6.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4"/>
          <w:rFonts w:hint="eastAsia"/>
        </w:rPr>
        <w:t>眩光分析结果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_Toc186050902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9FA28D8">
      <w:pPr>
        <w:pStyle w:val="18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"_Toc186050903" </w:instrText>
      </w:r>
      <w:r>
        <w:fldChar w:fldCharType="separate"/>
      </w:r>
      <w:r>
        <w:rPr>
          <w:rStyle w:val="24"/>
          <w:rFonts w:hint="eastAsia"/>
          <w:lang w:val="en-GB"/>
        </w:rPr>
        <w:t>6.1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  <w:rFonts w:hint="eastAsia"/>
        </w:rPr>
        <w:t>眩光指数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_Toc186050903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CFDB43F">
      <w:pPr>
        <w:pStyle w:val="18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"_Toc186050904" </w:instrText>
      </w:r>
      <w:r>
        <w:fldChar w:fldCharType="separate"/>
      </w:r>
      <w:r>
        <w:rPr>
          <w:rStyle w:val="24"/>
          <w:rFonts w:hint="eastAsia"/>
          <w:lang w:val="en-GB"/>
        </w:rPr>
        <w:t>6.2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  <w:rFonts w:hint="eastAsia"/>
        </w:rPr>
        <w:t>采光均匀度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_Toc186050904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BF89D31">
      <w:pPr>
        <w:pStyle w:val="17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"_Toc186050905" </w:instrText>
      </w:r>
      <w:r>
        <w:fldChar w:fldCharType="separate"/>
      </w:r>
      <w:r>
        <w:rPr>
          <w:rStyle w:val="24"/>
          <w:rFonts w:hint="eastAsia"/>
        </w:rPr>
        <w:t>7.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4"/>
          <w:rFonts w:hint="eastAsia"/>
        </w:rPr>
        <w:t>评价结论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_Toc186050905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BB34582">
      <w:pPr>
        <w:pStyle w:val="17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"_Toc186050906" </w:instrText>
      </w:r>
      <w:r>
        <w:fldChar w:fldCharType="separate"/>
      </w:r>
      <w:r>
        <w:rPr>
          <w:rStyle w:val="24"/>
          <w:rFonts w:hint="eastAsia"/>
        </w:rPr>
        <w:t>8.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4"/>
          <w:rFonts w:hint="eastAsia"/>
        </w:rPr>
        <w:t>附：项目总平面图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_Toc186050906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7C5801E">
      <w:pPr>
        <w:ind w:left="180" w:right="180" w:firstLine="560"/>
        <w:rPr>
          <w:rFonts w:hint="eastAsia"/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 w:val="28"/>
          <w:szCs w:val="28"/>
        </w:rPr>
        <w:fldChar w:fldCharType="end"/>
      </w:r>
      <w:bookmarkEnd w:id="11"/>
    </w:p>
    <w:p w14:paraId="5216A5C9">
      <w:pPr>
        <w:pStyle w:val="2"/>
        <w:rPr>
          <w:rFonts w:hint="eastAsia" w:ascii="微软雅黑" w:hAnsi="微软雅黑"/>
        </w:rPr>
      </w:pPr>
      <w:bookmarkStart w:id="12" w:name="_Toc186050888"/>
      <w:r>
        <w:rPr>
          <w:rFonts w:hint="eastAsia" w:ascii="微软雅黑" w:hAnsi="微软雅黑"/>
        </w:rPr>
        <w:t>建筑</w:t>
      </w:r>
      <w:r>
        <w:rPr>
          <w:rFonts w:ascii="微软雅黑" w:hAnsi="微软雅黑"/>
        </w:rPr>
        <w:t>概况</w:t>
      </w:r>
      <w:bookmarkEnd w:id="12"/>
    </w:p>
    <w:tbl>
      <w:tblPr>
        <w:tblStyle w:val="19"/>
        <w:tblpPr w:leftFromText="180" w:rightFromText="180" w:vertAnchor="text" w:horzAnchor="page" w:tblpX="1843" w:tblpY="233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2124"/>
      </w:tblGrid>
      <w:tr w14:paraId="089D8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49E2EE34">
            <w:pPr>
              <w:pStyle w:val="32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21D92718">
            <w:pPr>
              <w:pStyle w:val="32"/>
              <w:rPr>
                <w:rFonts w:hint="eastAsia"/>
                <w:lang w:val="en-US"/>
              </w:rPr>
            </w:pPr>
            <w:bookmarkStart w:id="13" w:name="光气候分区"/>
            <w:r>
              <w:rPr>
                <w:lang w:val="en-US"/>
              </w:rPr>
              <w:t>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22BD9445">
            <w:pPr>
              <w:pStyle w:val="32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2124" w:type="dxa"/>
          </w:tcPr>
          <w:p w14:paraId="5DEDD8A8">
            <w:pPr>
              <w:pStyle w:val="32"/>
              <w:rPr>
                <w:rFonts w:hint="eastAsia"/>
                <w:lang w:val="en-US"/>
              </w:rPr>
            </w:pPr>
            <w:bookmarkStart w:id="14" w:name="光气候系数K"/>
            <w:r>
              <w:rPr>
                <w:lang w:val="en-US"/>
              </w:rPr>
              <w:t>0.90</w:t>
            </w:r>
            <w:bookmarkEnd w:id="14"/>
          </w:p>
        </w:tc>
      </w:tr>
      <w:tr w14:paraId="1B456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EDF2E41">
            <w:pPr>
              <w:pStyle w:val="32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 w14:paraId="72FE27B0">
            <w:pPr>
              <w:pStyle w:val="32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1617.25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>
              <w:rPr>
                <w:rFonts w:hint="eastAsia"/>
                <w:lang w:val="en-US"/>
              </w:rPr>
              <w:t>0.00</w:t>
            </w:r>
            <w:bookmarkEnd w:id="16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6B800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1998835">
            <w:pPr>
              <w:pStyle w:val="32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 w14:paraId="0A0B386B">
            <w:pPr>
              <w:pStyle w:val="32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1</w:t>
            </w:r>
            <w:bookmarkEnd w:id="17"/>
            <w:r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>
              <w:rPr>
                <w:rFonts w:hint="eastAsia"/>
                <w:lang w:val="en-US"/>
              </w:rPr>
              <w:t>0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5AA36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29C7C0F5">
            <w:pPr>
              <w:pStyle w:val="32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 w14:paraId="6F423976">
            <w:pPr>
              <w:pStyle w:val="32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>
              <w:rPr>
                <w:rFonts w:hint="eastAsia"/>
                <w:lang w:val="en-US"/>
              </w:rPr>
              <w:t>9.00</w:t>
            </w:r>
            <w:bookmarkEnd w:id="19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>
              <w:rPr>
                <w:rFonts w:hint="eastAsia"/>
                <w:lang w:val="en-US"/>
              </w:rPr>
              <w:t>0.00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33858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49EC70BB">
            <w:pPr>
              <w:pStyle w:val="32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624" w:type="dxa"/>
            <w:gridSpan w:val="3"/>
          </w:tcPr>
          <w:p w14:paraId="0EAD904D">
            <w:pPr>
              <w:pStyle w:val="32"/>
              <w:rPr>
                <w:rFonts w:hint="eastAsia"/>
                <w:lang w:val="en-US"/>
              </w:rPr>
            </w:pPr>
          </w:p>
        </w:tc>
      </w:tr>
    </w:tbl>
    <w:p w14:paraId="25E68292">
      <w:pPr>
        <w:pStyle w:val="3"/>
        <w:ind w:firstLine="420"/>
        <w:rPr>
          <w:rFonts w:hint="eastAsia" w:ascii="微软雅黑" w:hAnsi="微软雅黑" w:eastAsia="微软雅黑"/>
          <w:lang w:val="en-US"/>
        </w:rPr>
      </w:pPr>
    </w:p>
    <w:p w14:paraId="172BEBE4">
      <w:pPr>
        <w:pStyle w:val="3"/>
        <w:ind w:firstLine="360"/>
        <w:jc w:val="center"/>
        <w:rPr>
          <w:rFonts w:hint="eastAsia" w:ascii="微软雅黑" w:hAnsi="微软雅黑" w:eastAsia="微软雅黑"/>
          <w:sz w:val="18"/>
          <w:lang w:val="en-US"/>
        </w:rPr>
      </w:pPr>
    </w:p>
    <w:p w14:paraId="0B053CEF">
      <w:pPr>
        <w:pStyle w:val="2"/>
        <w:rPr>
          <w:rFonts w:hint="eastAsia" w:ascii="微软雅黑" w:hAnsi="微软雅黑"/>
        </w:rPr>
      </w:pPr>
      <w:bookmarkStart w:id="21" w:name="_Toc186050889"/>
      <w:r>
        <w:rPr>
          <w:rFonts w:hint="eastAsia" w:ascii="微软雅黑" w:hAnsi="微软雅黑"/>
        </w:rPr>
        <w:t>分析目的</w:t>
      </w:r>
      <w:bookmarkEnd w:id="21"/>
    </w:p>
    <w:p w14:paraId="62FF4BA7">
      <w:pPr>
        <w:pStyle w:val="32"/>
        <w:ind w:firstLine="420" w:firstLineChars="200"/>
        <w:rPr>
          <w:rFonts w:hint="eastAsia"/>
        </w:rPr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770633A9">
      <w:pPr>
        <w:pStyle w:val="32"/>
        <w:ind w:firstLine="420" w:firstLineChars="200"/>
        <w:rPr>
          <w:rFonts w:hint="eastAsia"/>
        </w:rPr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3F8CD1C">
      <w:pPr>
        <w:pStyle w:val="2"/>
        <w:rPr>
          <w:rFonts w:hint="eastAsia" w:ascii="微软雅黑" w:hAnsi="微软雅黑"/>
        </w:rPr>
      </w:pPr>
      <w:bookmarkStart w:id="22" w:name="_Toc186050890"/>
      <w:r>
        <w:rPr>
          <w:rFonts w:hint="eastAsia" w:ascii="微软雅黑" w:hAnsi="微软雅黑"/>
        </w:rPr>
        <w:t>分析依据</w:t>
      </w:r>
      <w:bookmarkEnd w:id="22"/>
    </w:p>
    <w:p w14:paraId="3AE1889C">
      <w:pPr>
        <w:pStyle w:val="4"/>
        <w:rPr>
          <w:rFonts w:hint="eastAsia" w:ascii="微软雅黑" w:hAnsi="微软雅黑"/>
        </w:rPr>
      </w:pPr>
      <w:bookmarkStart w:id="23" w:name="_Toc186050891"/>
      <w:r>
        <w:rPr>
          <w:rFonts w:hint="eastAsia" w:ascii="微软雅黑" w:hAnsi="微软雅黑"/>
        </w:rPr>
        <w:t>标准依据</w:t>
      </w:r>
      <w:bookmarkEnd w:id="23"/>
    </w:p>
    <w:p w14:paraId="79428F8D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《绿色建筑评价标准》GB/T 50378-2019</w:t>
      </w:r>
    </w:p>
    <w:p w14:paraId="098A0DF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10473678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7015CB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2A4F422F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3DAACD28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5C8D4754">
      <w:pPr>
        <w:pStyle w:val="4"/>
        <w:rPr>
          <w:rFonts w:hint="eastAsia" w:ascii="微软雅黑" w:hAnsi="微软雅黑"/>
        </w:rPr>
      </w:pPr>
      <w:bookmarkStart w:id="24" w:name="_Toc186050892"/>
      <w:r>
        <w:rPr>
          <w:rFonts w:hint="eastAsia" w:ascii="微软雅黑" w:hAnsi="微软雅黑"/>
        </w:rPr>
        <w:t>标准要求</w:t>
      </w:r>
      <w:bookmarkEnd w:id="24"/>
    </w:p>
    <w:p w14:paraId="32F64C84">
      <w:pPr>
        <w:pStyle w:val="32"/>
        <w:ind w:firstLine="420" w:firstLineChars="200"/>
        <w:rPr>
          <w:rFonts w:hint="eastAsia"/>
          <w:lang w:val="en-US"/>
        </w:rPr>
      </w:pPr>
      <w:r>
        <w:rPr>
          <w:lang w:val="en-US"/>
        </w:rPr>
        <w:t>本报告以《建筑采光设计标准》GB 50033-2013为计算依据，以《绿色建筑评价标准》GB/T 50378－2019为评价依据。</w:t>
      </w:r>
    </w:p>
    <w:p w14:paraId="2DE2261E">
      <w:pPr>
        <w:pStyle w:val="13"/>
        <w:spacing w:line="360" w:lineRule="auto"/>
        <w:ind w:left="180" w:right="180" w:firstLine="420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7DD0F49">
      <w:pPr>
        <w:pStyle w:val="32"/>
        <w:ind w:firstLine="420" w:firstLineChars="200"/>
        <w:rPr>
          <w:rFonts w:hint="eastAsia"/>
        </w:rPr>
      </w:pPr>
      <w:r>
        <w:rPr>
          <w:rFonts w:hint="eastAsia"/>
        </w:rPr>
        <w:t>窗的不舒适眩光指数不宜高于表5.0.3规定的数值。</w:t>
      </w:r>
    </w:p>
    <w:p w14:paraId="56A03ACF">
      <w:pPr>
        <w:pStyle w:val="32"/>
        <w:jc w:val="center"/>
        <w:rPr>
          <w:rFonts w:hint="eastAsia"/>
        </w:rPr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4401"/>
      </w:tblGrid>
      <w:tr w14:paraId="29EFA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121" w:type="dxa"/>
            <w:vAlign w:val="center"/>
          </w:tcPr>
          <w:p w14:paraId="5BFD087D">
            <w:pPr>
              <w:pStyle w:val="32"/>
              <w:jc w:val="center"/>
              <w:rPr>
                <w:rFonts w:hint="eastAsia"/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vAlign w:val="center"/>
          </w:tcPr>
          <w:p w14:paraId="153B95D4">
            <w:pPr>
              <w:pStyle w:val="32"/>
              <w:jc w:val="center"/>
              <w:rPr>
                <w:rFonts w:hint="eastAsia"/>
                <w:kern w:val="2"/>
              </w:rPr>
            </w:pPr>
            <w:r>
              <w:t>眩光指数值DGI</w:t>
            </w:r>
          </w:p>
        </w:tc>
      </w:tr>
      <w:tr w14:paraId="2B5E4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 w14:paraId="69F9D042">
            <w:pPr>
              <w:pStyle w:val="32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2FB7705C">
            <w:pPr>
              <w:pStyle w:val="32"/>
              <w:jc w:val="center"/>
              <w:rPr>
                <w:rFonts w:hint="eastAsia"/>
              </w:rPr>
            </w:pPr>
            <w:r>
              <w:t>20</w:t>
            </w:r>
          </w:p>
        </w:tc>
      </w:tr>
      <w:tr w14:paraId="7F8DC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 w14:paraId="59EFA291">
            <w:pPr>
              <w:pStyle w:val="32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593C7628">
            <w:pPr>
              <w:pStyle w:val="32"/>
              <w:jc w:val="center"/>
              <w:rPr>
                <w:rFonts w:hint="eastAsia"/>
              </w:rPr>
            </w:pPr>
            <w:r>
              <w:t>23</w:t>
            </w:r>
          </w:p>
        </w:tc>
      </w:tr>
      <w:tr w14:paraId="61BA5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 w14:paraId="7C68F75C">
            <w:pPr>
              <w:pStyle w:val="32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61E678EF">
            <w:pPr>
              <w:pStyle w:val="32"/>
              <w:jc w:val="center"/>
              <w:rPr>
                <w:rFonts w:hint="eastAsia"/>
              </w:rPr>
            </w:pPr>
            <w:r>
              <w:t>25</w:t>
            </w:r>
          </w:p>
        </w:tc>
      </w:tr>
      <w:tr w14:paraId="2A2C0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 w14:paraId="4437276D">
            <w:pPr>
              <w:pStyle w:val="32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12F05CFD">
            <w:pPr>
              <w:pStyle w:val="32"/>
              <w:jc w:val="center"/>
              <w:rPr>
                <w:rFonts w:hint="eastAsia"/>
                <w:kern w:val="2"/>
              </w:rPr>
            </w:pPr>
            <w:r>
              <w:t>27</w:t>
            </w:r>
          </w:p>
        </w:tc>
      </w:tr>
      <w:tr w14:paraId="324DC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 w14:paraId="763A4F17">
            <w:pPr>
              <w:pStyle w:val="32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35F926AF">
            <w:pPr>
              <w:pStyle w:val="32"/>
              <w:jc w:val="center"/>
              <w:rPr>
                <w:rFonts w:hint="eastAsia"/>
              </w:rPr>
            </w:pPr>
            <w:r>
              <w:t>28</w:t>
            </w:r>
          </w:p>
        </w:tc>
      </w:tr>
    </w:tbl>
    <w:p w14:paraId="6E049140">
      <w:pPr>
        <w:pStyle w:val="13"/>
        <w:spacing w:line="360" w:lineRule="auto"/>
        <w:ind w:left="180" w:right="180" w:firstLine="420"/>
        <w:rPr>
          <w:rFonts w:hint="eastAsia" w:ascii="微软雅黑" w:hAnsi="微软雅黑"/>
          <w:kern w:val="0"/>
          <w:sz w:val="21"/>
          <w:szCs w:val="21"/>
        </w:rPr>
      </w:pPr>
    </w:p>
    <w:p w14:paraId="40453637">
      <w:pPr>
        <w:ind w:left="180" w:right="180"/>
        <w:jc w:val="left"/>
        <w:rPr>
          <w:rFonts w:hint="eastAsia"/>
          <w:b/>
          <w:lang w:val="en-US"/>
        </w:rPr>
      </w:pPr>
      <w:r>
        <w:rPr>
          <w:rFonts w:hint="eastAsia"/>
          <w:b/>
          <w:lang w:val="en-US"/>
        </w:rPr>
        <w:t>■ 《绿色建筑评价标准》GB/T 50378-201</w:t>
      </w:r>
      <w:r>
        <w:rPr>
          <w:b/>
          <w:lang w:val="en-US"/>
        </w:rPr>
        <w:t>9</w:t>
      </w:r>
      <w:r>
        <w:rPr>
          <w:rFonts w:hint="eastAsia"/>
          <w:b/>
          <w:lang w:val="en-US"/>
        </w:rPr>
        <w:t>规定：</w:t>
      </w:r>
    </w:p>
    <w:p w14:paraId="3A3DC076">
      <w:pPr>
        <w:pStyle w:val="32"/>
        <w:rPr>
          <w:rFonts w:hint="eastAsia"/>
        </w:rPr>
      </w:pPr>
      <w:r>
        <w:t xml:space="preserve">5. 2. 8 </w:t>
      </w:r>
      <w:r>
        <w:rPr>
          <w:rFonts w:hint="eastAsia"/>
        </w:rPr>
        <w:t>充分利用天然光，评价总分值为</w:t>
      </w:r>
      <w:r>
        <w:t xml:space="preserve">12 </w:t>
      </w:r>
      <w:r>
        <w:rPr>
          <w:rFonts w:hint="eastAsia"/>
        </w:rPr>
        <w:t>分，并按下列规则分别评分并累计：</w:t>
      </w:r>
    </w:p>
    <w:p w14:paraId="6E0D3898">
      <w:pPr>
        <w:pStyle w:val="32"/>
        <w:ind w:left="420" w:leftChars="200"/>
        <w:rPr>
          <w:rFonts w:hint="eastAsia"/>
        </w:rPr>
      </w:pPr>
      <w:r>
        <w:t xml:space="preserve">1 </w:t>
      </w:r>
      <w:r>
        <w:rPr>
          <w:rFonts w:hint="eastAsia"/>
        </w:rPr>
        <w:t>住宅建筑室内主要功能空间至少</w:t>
      </w:r>
      <w:r>
        <w:t xml:space="preserve">60% </w:t>
      </w:r>
      <w:r>
        <w:rPr>
          <w:rFonts w:hint="eastAsia"/>
        </w:rPr>
        <w:t>面积比例区域，其采光照度值不低千</w:t>
      </w:r>
      <w:r>
        <w:t xml:space="preserve">300lx </w:t>
      </w:r>
      <w:r>
        <w:rPr>
          <w:rFonts w:hint="eastAsia"/>
        </w:rPr>
        <w:t>的小时数平均不少于</w:t>
      </w:r>
      <w:r>
        <w:t xml:space="preserve">8h/d, </w:t>
      </w:r>
      <w:r>
        <w:rPr>
          <w:rFonts w:hint="eastAsia"/>
        </w:rPr>
        <w:t>得</w:t>
      </w:r>
      <w:r>
        <w:t xml:space="preserve">9 </w:t>
      </w:r>
      <w:r>
        <w:rPr>
          <w:rFonts w:hint="eastAsia"/>
        </w:rPr>
        <w:t>分。</w:t>
      </w:r>
    </w:p>
    <w:p w14:paraId="0C41153C">
      <w:pPr>
        <w:pStyle w:val="32"/>
        <w:ind w:left="420" w:leftChars="200"/>
        <w:rPr>
          <w:rFonts w:hint="eastAsia"/>
        </w:rPr>
      </w:pPr>
      <w:r>
        <w:t xml:space="preserve">2 </w:t>
      </w:r>
      <w:r>
        <w:rPr>
          <w:rFonts w:hint="eastAsia"/>
        </w:rPr>
        <w:t>公共建筑按下列规则分别评分并累计：</w:t>
      </w:r>
    </w:p>
    <w:p w14:paraId="37D85592">
      <w:pPr>
        <w:pStyle w:val="32"/>
        <w:ind w:left="630" w:leftChars="300"/>
        <w:rPr>
          <w:rFonts w:hint="eastAsia"/>
        </w:rPr>
      </w:pPr>
      <w:r>
        <w:t xml:space="preserve">1) </w:t>
      </w:r>
      <w:r>
        <w:rPr>
          <w:rFonts w:hint="eastAsia"/>
        </w:rPr>
        <w:t>内区采光系数满足采光要求的面积比例达到</w:t>
      </w:r>
      <w:r>
        <w:t xml:space="preserve">60%, </w:t>
      </w:r>
      <w:r>
        <w:rPr>
          <w:rFonts w:hint="eastAsia"/>
        </w:rPr>
        <w:t>得</w:t>
      </w:r>
      <w:r>
        <w:t xml:space="preserve">3 </w:t>
      </w:r>
      <w:r>
        <w:rPr>
          <w:rFonts w:hint="eastAsia"/>
        </w:rPr>
        <w:t>分；</w:t>
      </w:r>
    </w:p>
    <w:p w14:paraId="0157936A">
      <w:pPr>
        <w:pStyle w:val="32"/>
        <w:ind w:left="630" w:leftChars="300"/>
        <w:rPr>
          <w:rFonts w:hint="eastAsia"/>
        </w:rPr>
      </w:pPr>
      <w:r>
        <w:t xml:space="preserve">2) </w:t>
      </w:r>
      <w:r>
        <w:rPr>
          <w:rFonts w:hint="eastAsia"/>
        </w:rPr>
        <w:t>地下空间平均采光系数不小于</w:t>
      </w:r>
      <w:r>
        <w:t xml:space="preserve">0. 5% </w:t>
      </w:r>
      <w:r>
        <w:rPr>
          <w:rFonts w:hint="eastAsia"/>
        </w:rPr>
        <w:t>的面积与地下室首层面积的比例达到</w:t>
      </w:r>
      <w:r>
        <w:t xml:space="preserve">10% </w:t>
      </w:r>
      <w:r>
        <w:rPr>
          <w:rFonts w:hint="eastAsia"/>
        </w:rPr>
        <w:t>以上，得</w:t>
      </w:r>
      <w:r>
        <w:t xml:space="preserve">3 </w:t>
      </w:r>
      <w:r>
        <w:rPr>
          <w:rFonts w:hint="eastAsia"/>
        </w:rPr>
        <w:t>分；</w:t>
      </w:r>
    </w:p>
    <w:p w14:paraId="17BF0707">
      <w:pPr>
        <w:pStyle w:val="32"/>
        <w:ind w:left="630" w:leftChars="300"/>
        <w:rPr>
          <w:rFonts w:hint="eastAsia"/>
        </w:rPr>
      </w:pPr>
      <w:r>
        <w:t xml:space="preserve">3) </w:t>
      </w:r>
      <w:r>
        <w:rPr>
          <w:rFonts w:hint="eastAsia"/>
        </w:rPr>
        <w:t>室内主要功能空间至少</w:t>
      </w:r>
      <w:r>
        <w:t xml:space="preserve">60% </w:t>
      </w:r>
      <w:r>
        <w:rPr>
          <w:rFonts w:hint="eastAsia"/>
        </w:rPr>
        <w:t>面积比例区域的采光照度值</w:t>
      </w:r>
      <w:r>
        <w:t>不低千采光要求的小</w:t>
      </w:r>
      <w:r>
        <w:rPr>
          <w:rFonts w:hint="eastAsia"/>
        </w:rPr>
        <w:t>时</w:t>
      </w:r>
      <w:r>
        <w:t xml:space="preserve">数平均不少于4h/d, </w:t>
      </w:r>
      <w:r>
        <w:rPr>
          <w:rFonts w:hint="eastAsia"/>
        </w:rPr>
        <w:t>得</w:t>
      </w:r>
      <w:r>
        <w:t xml:space="preserve">3 </w:t>
      </w:r>
      <w:r>
        <w:rPr>
          <w:rFonts w:hint="eastAsia"/>
        </w:rPr>
        <w:t>分。</w:t>
      </w:r>
    </w:p>
    <w:p w14:paraId="167D4FE5">
      <w:pPr>
        <w:pStyle w:val="32"/>
        <w:ind w:left="420" w:leftChars="200"/>
        <w:rPr>
          <w:rFonts w:hint="eastAsia"/>
        </w:rPr>
      </w:pPr>
      <w:r>
        <w:t xml:space="preserve">3 </w:t>
      </w:r>
      <w:r>
        <w:rPr>
          <w:rFonts w:hint="eastAsia"/>
        </w:rPr>
        <w:t>主要功能房间</w:t>
      </w:r>
      <w:r>
        <w:t>有眩光控制措施，得</w:t>
      </w:r>
      <w:bookmarkStart w:id="25" w:name="眩光评价分值"/>
      <w:r>
        <w:t>3</w:t>
      </w:r>
      <w:bookmarkEnd w:id="25"/>
      <w:r>
        <w:t xml:space="preserve"> </w:t>
      </w:r>
      <w:r>
        <w:rPr>
          <w:rFonts w:hint="eastAsia"/>
        </w:rPr>
        <w:t>分。</w:t>
      </w:r>
    </w:p>
    <w:p w14:paraId="606EB395">
      <w:pPr>
        <w:ind w:left="630" w:leftChars="300" w:right="180"/>
        <w:rPr>
          <w:rFonts w:hint="eastAsia"/>
          <w:szCs w:val="21"/>
        </w:rPr>
      </w:pPr>
    </w:p>
    <w:p w14:paraId="11EC43D8">
      <w:pPr>
        <w:ind w:left="180" w:right="180"/>
        <w:jc w:val="left"/>
        <w:rPr>
          <w:rFonts w:hint="eastAsia"/>
          <w:lang w:val="en-US"/>
        </w:rPr>
      </w:pPr>
      <w:r>
        <w:rPr>
          <w:rFonts w:hint="eastAsia"/>
          <w:lang w:val="en-US"/>
        </w:rPr>
        <w:t>■</w:t>
      </w:r>
      <w:r>
        <w:rPr>
          <w:rFonts w:hint="eastAsia"/>
          <w:b/>
          <w:lang w:val="en-US"/>
        </w:rPr>
        <w:t xml:space="preserve"> 《绿色建筑评价标准技术细则2019》指出：</w:t>
      </w:r>
    </w:p>
    <w:p w14:paraId="2FF3760F">
      <w:pPr>
        <w:pStyle w:val="32"/>
        <w:ind w:firstLine="420" w:firstLineChars="200"/>
        <w:rPr>
          <w:rFonts w:hint="eastAsia"/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6" w:name="最大光均匀度要求"/>
      <w:r>
        <w:rPr>
          <w:rFonts w:hint="eastAsia"/>
          <w:lang w:val="en-US"/>
        </w:rPr>
        <w:t>6</w:t>
      </w:r>
      <w:bookmarkEnd w:id="26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2A04E6F5">
      <w:pPr>
        <w:ind w:left="630" w:leftChars="300" w:right="180"/>
        <w:rPr>
          <w:rFonts w:hint="eastAsia"/>
          <w:szCs w:val="21"/>
          <w:lang w:val="en-US"/>
        </w:rPr>
      </w:pPr>
    </w:p>
    <w:p w14:paraId="191CFFC0">
      <w:pPr>
        <w:pStyle w:val="2"/>
        <w:rPr>
          <w:rFonts w:hint="eastAsia" w:ascii="微软雅黑" w:hAnsi="微软雅黑"/>
        </w:rPr>
      </w:pPr>
      <w:bookmarkStart w:id="27" w:name="_Toc186050893"/>
      <w:r>
        <w:rPr>
          <w:rFonts w:hint="eastAsia" w:ascii="微软雅黑" w:hAnsi="微软雅黑"/>
        </w:rPr>
        <w:t>应用软件与计算方法</w:t>
      </w:r>
      <w:bookmarkEnd w:id="27"/>
    </w:p>
    <w:p w14:paraId="088C2BD1">
      <w:pPr>
        <w:pStyle w:val="4"/>
        <w:rPr>
          <w:rFonts w:hint="eastAsia" w:ascii="微软雅黑" w:hAnsi="微软雅黑"/>
        </w:rPr>
      </w:pPr>
      <w:bookmarkStart w:id="28" w:name="_Toc186050894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28"/>
    </w:p>
    <w:p w14:paraId="047993D9">
      <w:pPr>
        <w:pStyle w:val="32"/>
        <w:ind w:firstLine="420" w:firstLineChars="200"/>
        <w:rPr>
          <w:rFonts w:hint="eastAsia"/>
        </w:rPr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DALI是国内首款与国标《建筑采光设计标准》GB50033-2013配套的软件，支持《绿色建筑评价标准》GB/T50378-2019的采光指标要求。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472991AC">
      <w:pPr>
        <w:pStyle w:val="32"/>
        <w:ind w:firstLine="420" w:firstLineChars="200"/>
        <w:rPr>
          <w:rFonts w:hint="eastAsia"/>
        </w:rPr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20C642E9">
      <w:pPr>
        <w:pStyle w:val="4"/>
        <w:rPr>
          <w:rFonts w:hint="eastAsia" w:ascii="微软雅黑" w:hAnsi="微软雅黑"/>
        </w:rPr>
      </w:pPr>
      <w:bookmarkStart w:id="29" w:name="_Toc186050895"/>
      <w:r>
        <w:rPr>
          <w:rFonts w:hint="eastAsia" w:ascii="微软雅黑" w:hAnsi="微软雅黑"/>
        </w:rPr>
        <w:t>计算原理</w:t>
      </w:r>
      <w:bookmarkEnd w:id="29"/>
    </w:p>
    <w:p w14:paraId="7101ACCC">
      <w:pPr>
        <w:pStyle w:val="13"/>
        <w:spacing w:line="360" w:lineRule="auto"/>
        <w:ind w:left="180" w:right="180" w:firstLine="420"/>
        <w:rPr>
          <w:rFonts w:hint="eastAsia" w:ascii="微软雅黑" w:hAnsi="微软雅黑"/>
          <w:b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■ 窗的不舒适眩光指数（</w:t>
      </w:r>
      <w:r>
        <w:rPr>
          <w:rFonts w:ascii="微软雅黑" w:hAnsi="微软雅黑"/>
          <w:b/>
          <w:sz w:val="21"/>
          <w:szCs w:val="21"/>
        </w:rPr>
        <w:t>DGI</w:t>
      </w:r>
      <w:r>
        <w:rPr>
          <w:rFonts w:hint="eastAsia" w:ascii="微软雅黑" w:hAnsi="微软雅黑"/>
          <w:b/>
          <w:sz w:val="21"/>
          <w:szCs w:val="21"/>
        </w:rPr>
        <w:t xml:space="preserve">）可按下列公式计算： </w:t>
      </w:r>
    </w:p>
    <w:p w14:paraId="684F0B3D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5" o:spt="75" type="#_x0000_t75" style="height:20.65pt;width:89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0">
            <o:LockedField>false</o:LockedField>
          </o:OLEObject>
        </w:object>
      </w:r>
    </w:p>
    <w:p w14:paraId="3B6F0A30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36.5pt;width:135.8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2">
            <o:LockedField>false</o:LockedField>
          </o:OLEObject>
        </w:object>
      </w:r>
    </w:p>
    <w:p w14:paraId="2DE6A3E9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3.1pt;width:49.4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4">
            <o:LockedField>false</o:LockedField>
          </o:OLEObject>
        </w:object>
      </w:r>
    </w:p>
    <w:p w14:paraId="042AFEA2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19.7pt;width:419.0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6">
            <o:LockedField>false</o:LockedField>
          </o:OLEObject>
        </w:object>
      </w:r>
    </w:p>
    <w:p w14:paraId="0077504B">
      <w:pPr>
        <w:pStyle w:val="32"/>
        <w:ind w:left="630" w:leftChars="300"/>
        <w:rPr>
          <w:rFonts w:hint="eastAsia"/>
          <w:sz w:val="20"/>
        </w:rPr>
      </w:pPr>
      <w:r>
        <w:rPr>
          <w:rFonts w:hint="eastAsia"/>
          <w:sz w:val="20"/>
        </w:rPr>
        <w:t>式中：</w:t>
      </w:r>
    </w:p>
    <w:p w14:paraId="7C4FECA3">
      <w:pPr>
        <w:pStyle w:val="32"/>
        <w:ind w:left="630" w:leftChars="300"/>
        <w:rPr>
          <w:rFonts w:hint="eastAsia"/>
          <w:sz w:val="20"/>
        </w:rPr>
      </w:pPr>
      <w:r>
        <w:rPr>
          <w:sz w:val="20"/>
        </w:rPr>
        <w:t>Gn----眩光常数；</w:t>
      </w:r>
    </w:p>
    <w:p w14:paraId="21362D8B">
      <w:pPr>
        <w:pStyle w:val="32"/>
        <w:ind w:left="630" w:leftChars="300"/>
        <w:rPr>
          <w:rFonts w:hint="eastAsia"/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367DE3F8">
      <w:pPr>
        <w:pStyle w:val="32"/>
        <w:ind w:left="630" w:leftChars="300"/>
        <w:rPr>
          <w:rFonts w:hint="eastAsia"/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169F7CF5">
      <w:pPr>
        <w:pStyle w:val="32"/>
        <w:ind w:left="630" w:leftChars="300"/>
        <w:rPr>
          <w:rFonts w:hint="eastAsia"/>
          <w:sz w:val="20"/>
        </w:rPr>
      </w:pPr>
      <w:r>
        <w:rPr>
          <w:sz w:val="20"/>
        </w:rPr>
        <w:t>ω----窗对计算点形成的立体角（sr）；</w:t>
      </w:r>
    </w:p>
    <w:p w14:paraId="7F899100">
      <w:pPr>
        <w:pStyle w:val="32"/>
        <w:ind w:left="630" w:leftChars="300"/>
        <w:rPr>
          <w:rFonts w:hint="eastAsia"/>
          <w:sz w:val="20"/>
        </w:rPr>
      </w:pPr>
      <w:r>
        <w:rPr>
          <w:sz w:val="20"/>
        </w:rPr>
        <w:t>Ω----考虑窗位置修正的立体角（sr）；</w:t>
      </w:r>
    </w:p>
    <w:p w14:paraId="5B8CB093">
      <w:pPr>
        <w:pStyle w:val="32"/>
        <w:ind w:left="630" w:leftChars="300"/>
        <w:rPr>
          <w:rFonts w:hint="eastAsia"/>
          <w:sz w:val="20"/>
        </w:rPr>
      </w:pPr>
      <w:r>
        <w:rPr>
          <w:sz w:val="20"/>
        </w:rPr>
        <w:t>P ----古斯位置指数</w:t>
      </w:r>
    </w:p>
    <w:p w14:paraId="3F5ECFBE">
      <w:pPr>
        <w:pStyle w:val="32"/>
        <w:ind w:left="630" w:leftChars="300"/>
        <w:rPr>
          <w:rFonts w:hint="eastAsia"/>
          <w:sz w:val="20"/>
        </w:rPr>
      </w:pPr>
      <w:r>
        <w:rPr>
          <w:sz w:val="20"/>
        </w:rPr>
        <w:t>α----窗对角线与窗垂直方向的夹角；</w:t>
      </w:r>
    </w:p>
    <w:p w14:paraId="33548BC8">
      <w:pPr>
        <w:pStyle w:val="32"/>
        <w:ind w:left="630" w:leftChars="300"/>
        <w:rPr>
          <w:rFonts w:hint="eastAsia"/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4D8356BD">
      <w:pPr>
        <w:pStyle w:val="13"/>
        <w:spacing w:line="360" w:lineRule="auto"/>
        <w:ind w:left="180" w:right="180" w:firstLine="0"/>
        <w:jc w:val="center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0" distR="0">
            <wp:extent cx="2792095" cy="2511425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2095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37DC2">
      <w:pPr>
        <w:pStyle w:val="13"/>
        <w:spacing w:line="360" w:lineRule="auto"/>
        <w:ind w:left="180" w:right="180" w:firstLine="0"/>
        <w:jc w:val="center"/>
        <w:rPr>
          <w:rFonts w:hint="eastAsia"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51C40F0">
      <w:pPr>
        <w:pStyle w:val="2"/>
        <w:rPr>
          <w:rFonts w:hint="eastAsia" w:ascii="微软雅黑" w:hAnsi="微软雅黑"/>
        </w:rPr>
      </w:pPr>
      <w:bookmarkStart w:id="30" w:name="_Toc186050896"/>
      <w:r>
        <w:rPr>
          <w:rFonts w:hint="eastAsia" w:ascii="微软雅黑" w:hAnsi="微软雅黑"/>
        </w:rPr>
        <w:t>计算参数选用</w:t>
      </w:r>
      <w:bookmarkEnd w:id="30"/>
    </w:p>
    <w:p w14:paraId="77F3F945">
      <w:pPr>
        <w:pStyle w:val="4"/>
        <w:rPr>
          <w:rFonts w:hint="eastAsia" w:ascii="微软雅黑" w:hAnsi="微软雅黑"/>
        </w:rPr>
      </w:pPr>
      <w:bookmarkStart w:id="31" w:name="_Toc186050897"/>
      <w:r>
        <w:rPr>
          <w:rFonts w:hint="eastAsia" w:ascii="微软雅黑" w:hAnsi="微软雅黑"/>
        </w:rPr>
        <w:t>模拟条件</w:t>
      </w:r>
      <w:bookmarkEnd w:id="31"/>
    </w:p>
    <w:p w14:paraId="65AED436">
      <w:pPr>
        <w:pStyle w:val="32"/>
        <w:ind w:left="420" w:leftChars="200"/>
        <w:rPr>
          <w:rFonts w:hint="eastAsia"/>
        </w:rPr>
      </w:pPr>
      <w:r>
        <w:rPr>
          <w:rFonts w:hint="eastAsia"/>
        </w:rPr>
        <w:t>天空状态：</w:t>
      </w:r>
      <w:bookmarkStart w:id="32" w:name="天空模型"/>
      <w:r>
        <w:rPr>
          <w:rFonts w:hint="eastAsia"/>
        </w:rPr>
        <w:t>晴天－CIE12（大气清晰）：8月25日 13:00 考虑太阳直射</w:t>
      </w:r>
      <w:bookmarkEnd w:id="32"/>
    </w:p>
    <w:p w14:paraId="7F0FF71A">
      <w:pPr>
        <w:pStyle w:val="32"/>
        <w:ind w:left="420" w:leftChars="200"/>
        <w:rPr>
          <w:rFonts w:hint="eastAsia"/>
        </w:rPr>
      </w:pPr>
      <w:r>
        <w:t>周边环境</w:t>
      </w:r>
      <w:r>
        <w:rPr>
          <w:rFonts w:hint="eastAsia"/>
        </w:rPr>
        <w:t>：</w:t>
      </w:r>
      <w:r>
        <w:t>考虑</w:t>
      </w:r>
      <w:r>
        <w:rPr>
          <w:rFonts w:hint="eastAsia"/>
        </w:rPr>
        <w:t>分析区内的</w:t>
      </w:r>
      <w:r>
        <w:t>建筑物</w:t>
      </w:r>
      <w:r>
        <w:rPr>
          <w:rFonts w:hint="eastAsia"/>
        </w:rPr>
        <w:t>之间</w:t>
      </w:r>
      <w:r>
        <w:t>遮挡</w:t>
      </w:r>
    </w:p>
    <w:p w14:paraId="22879855">
      <w:pPr>
        <w:pStyle w:val="32"/>
        <w:ind w:left="420" w:leftChars="200"/>
        <w:rPr>
          <w:rFonts w:hint="eastAsia"/>
        </w:rPr>
      </w:pPr>
      <w:r>
        <w:rPr>
          <w:rFonts w:hint="eastAsia"/>
        </w:rPr>
        <w:t>室内环境：</w:t>
      </w:r>
      <w:r>
        <w:t>忽略室内家具</w:t>
      </w:r>
      <w:r>
        <w:rPr>
          <w:rFonts w:hint="eastAsia"/>
        </w:rPr>
        <w:t>类设施</w:t>
      </w:r>
      <w:r>
        <w:t>的影响，</w:t>
      </w:r>
      <w:r>
        <w:rPr>
          <w:rFonts w:hint="eastAsia"/>
        </w:rPr>
        <w:t>只考虑永久固定的顶棚、地面和墙面</w:t>
      </w:r>
      <w:r>
        <w:t>。</w:t>
      </w:r>
    </w:p>
    <w:p w14:paraId="46EBC055">
      <w:pPr>
        <w:pStyle w:val="4"/>
        <w:rPr>
          <w:rFonts w:hint="eastAsia" w:ascii="微软雅黑" w:hAnsi="微软雅黑"/>
        </w:rPr>
      </w:pPr>
      <w:bookmarkStart w:id="33" w:name="_Toc186050898"/>
      <w:r>
        <w:rPr>
          <w:rFonts w:hint="eastAsia" w:ascii="微软雅黑" w:hAnsi="微软雅黑"/>
        </w:rPr>
        <w:t>建筑饰面材料参数</w:t>
      </w:r>
      <w:bookmarkEnd w:id="33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3464"/>
        <w:gridCol w:w="3531"/>
      </w:tblGrid>
      <w:tr w14:paraId="3B104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 w14:paraId="5D3E5358">
            <w:pPr>
              <w:pStyle w:val="32"/>
              <w:jc w:val="center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66DA7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7AB3DE42">
            <w:pPr>
              <w:pStyle w:val="3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部位</w:t>
            </w:r>
          </w:p>
        </w:tc>
        <w:tc>
          <w:tcPr>
            <w:tcW w:w="3464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61629411">
            <w:pPr>
              <w:pStyle w:val="3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531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1DD74764">
            <w:pPr>
              <w:pStyle w:val="3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6FB7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697A327">
            <w:pPr>
              <w:pStyle w:val="3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顶棚</w:t>
            </w:r>
          </w:p>
        </w:tc>
        <w:tc>
          <w:tcPr>
            <w:tcW w:w="3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25AFD29">
            <w:pPr>
              <w:pStyle w:val="32"/>
              <w:jc w:val="center"/>
              <w:rPr>
                <w:rFonts w:hint="eastAsia"/>
              </w:rPr>
            </w:pPr>
            <w:bookmarkStart w:id="34" w:name="顶棚反射比"/>
            <w:r>
              <w:rPr>
                <w:rFonts w:hint="eastAsia"/>
              </w:rPr>
              <w:t>0.75</w:t>
            </w:r>
            <w:bookmarkEnd w:id="34"/>
          </w:p>
        </w:tc>
        <w:tc>
          <w:tcPr>
            <w:tcW w:w="35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AF009C">
            <w:pPr>
              <w:pStyle w:val="32"/>
              <w:jc w:val="center"/>
              <w:rPr>
                <w:rFonts w:hint="eastAsia"/>
              </w:rPr>
            </w:pPr>
          </w:p>
        </w:tc>
      </w:tr>
      <w:tr w14:paraId="0D23B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3D39F2E">
            <w:pPr>
              <w:pStyle w:val="3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地面</w:t>
            </w:r>
          </w:p>
        </w:tc>
        <w:tc>
          <w:tcPr>
            <w:tcW w:w="3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88EA5AA">
            <w:pPr>
              <w:pStyle w:val="32"/>
              <w:jc w:val="center"/>
              <w:rPr>
                <w:rFonts w:hint="eastAsia"/>
              </w:rPr>
            </w:pPr>
            <w:bookmarkStart w:id="35" w:name="地面反射比"/>
            <w:r>
              <w:rPr>
                <w:rFonts w:hint="eastAsia"/>
              </w:rPr>
              <w:t>0.30</w:t>
            </w:r>
            <w:bookmarkEnd w:id="35"/>
          </w:p>
        </w:tc>
        <w:tc>
          <w:tcPr>
            <w:tcW w:w="35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765190">
            <w:pPr>
              <w:pStyle w:val="32"/>
              <w:jc w:val="center"/>
              <w:rPr>
                <w:rFonts w:hint="eastAsia"/>
              </w:rPr>
            </w:pPr>
          </w:p>
        </w:tc>
      </w:tr>
      <w:tr w14:paraId="72530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F11ED17">
            <w:pPr>
              <w:pStyle w:val="3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墙面</w:t>
            </w:r>
          </w:p>
        </w:tc>
        <w:tc>
          <w:tcPr>
            <w:tcW w:w="3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DC14DAA">
            <w:pPr>
              <w:pStyle w:val="32"/>
              <w:jc w:val="center"/>
              <w:rPr>
                <w:rFonts w:hint="eastAsia"/>
              </w:rPr>
            </w:pPr>
            <w:bookmarkStart w:id="36" w:name="墙面反射比"/>
            <w:r>
              <w:rPr>
                <w:rFonts w:hint="eastAsia"/>
              </w:rPr>
              <w:t>0.60</w:t>
            </w:r>
            <w:bookmarkEnd w:id="36"/>
          </w:p>
        </w:tc>
        <w:tc>
          <w:tcPr>
            <w:tcW w:w="35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BCD6971">
            <w:pPr>
              <w:pStyle w:val="32"/>
              <w:jc w:val="center"/>
              <w:rPr>
                <w:rFonts w:hint="eastAsia"/>
              </w:rPr>
            </w:pPr>
          </w:p>
        </w:tc>
      </w:tr>
      <w:tr w14:paraId="46048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69EE5E8">
            <w:pPr>
              <w:pStyle w:val="3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外表面</w:t>
            </w:r>
          </w:p>
        </w:tc>
        <w:tc>
          <w:tcPr>
            <w:tcW w:w="3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8E6E0CE">
            <w:pPr>
              <w:pStyle w:val="32"/>
              <w:jc w:val="center"/>
              <w:rPr>
                <w:rFonts w:hint="eastAsia"/>
              </w:rPr>
            </w:pPr>
            <w:bookmarkStart w:id="37" w:name="外表面反射比"/>
            <w:r>
              <w:rPr>
                <w:rFonts w:hint="eastAsia"/>
              </w:rPr>
              <w:t>0.50</w:t>
            </w:r>
            <w:bookmarkEnd w:id="37"/>
          </w:p>
        </w:tc>
        <w:tc>
          <w:tcPr>
            <w:tcW w:w="35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C4B0B7C">
            <w:pPr>
              <w:pStyle w:val="32"/>
              <w:jc w:val="center"/>
              <w:rPr>
                <w:rFonts w:hint="eastAsia"/>
              </w:rPr>
            </w:pPr>
          </w:p>
        </w:tc>
      </w:tr>
    </w:tbl>
    <w:p w14:paraId="37ACD8F3">
      <w:pPr>
        <w:pStyle w:val="13"/>
        <w:spacing w:line="360" w:lineRule="auto"/>
        <w:ind w:left="180" w:right="180" w:firstLine="360"/>
        <w:rPr>
          <w:rFonts w:hint="eastAsia"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7D0BBB4A">
      <w:pPr>
        <w:pStyle w:val="4"/>
        <w:rPr>
          <w:rFonts w:hint="eastAsia" w:ascii="微软雅黑" w:hAnsi="微软雅黑"/>
        </w:rPr>
      </w:pPr>
      <w:bookmarkStart w:id="38" w:name="_Toc186050899"/>
      <w:r>
        <w:rPr>
          <w:rFonts w:hint="eastAsia" w:ascii="微软雅黑" w:hAnsi="微软雅黑"/>
        </w:rPr>
        <w:t>门窗类型参数</w:t>
      </w:r>
      <w:bookmarkEnd w:id="38"/>
    </w:p>
    <w:p w14:paraId="461CFDFE">
      <w:pPr>
        <w:pStyle w:val="32"/>
        <w:ind w:firstLine="420" w:firstLineChars="200"/>
        <w:rPr>
          <w:rFonts w:hint="eastAsia"/>
        </w:rPr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148D9B4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42D4C5D4">
      <w:pPr>
        <w:pStyle w:val="5"/>
        <w:rPr>
          <w:rFonts w:hint="eastAsia" w:ascii="微软雅黑" w:hAnsi="微软雅黑"/>
        </w:rPr>
      </w:pPr>
      <w:bookmarkStart w:id="39" w:name="_Toc186050900"/>
      <w:bookmarkStart w:id="40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39"/>
    </w:p>
    <w:bookmarkEnd w:id="40"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14:paraId="1C93E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 w14:paraId="77B61E05">
            <w:pPr>
              <w:rPr>
                <w:rFonts w:hint="eastAsia"/>
              </w:rPr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0AA9503">
            <w:pPr>
              <w:rPr>
                <w:rFonts w:hint="eastAsia"/>
              </w:rPr>
            </w:pPr>
            <w:r>
              <w:t>宽度(mm)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B235CD8">
            <w:pPr>
              <w:rPr>
                <w:rFonts w:hint="eastAsia"/>
              </w:rPr>
            </w:pPr>
            <w:r>
              <w:t>高度(mm)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6ADB29F">
            <w:pPr>
              <w:rPr>
                <w:rFonts w:hint="eastAsia"/>
              </w:rPr>
            </w:pPr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0AA43AB">
            <w:pPr>
              <w:rPr>
                <w:rFonts w:hint="eastAsia"/>
              </w:rPr>
            </w:pPr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4EF2E304">
            <w:pPr>
              <w:rPr>
                <w:rFonts w:hint="eastAsia"/>
              </w:rPr>
            </w:pPr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6FBFFDF">
            <w:pPr>
              <w:rPr>
                <w:rFonts w:hint="eastAsia"/>
              </w:rPr>
            </w:pPr>
            <w:r>
              <w:t>玻璃反射比</w:t>
            </w:r>
          </w:p>
        </w:tc>
      </w:tr>
      <w:tr w14:paraId="1493EC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 w14:paraId="71C50145">
            <w:pPr>
              <w:rPr>
                <w:rFonts w:hint="eastAsia"/>
              </w:rPr>
            </w:pPr>
            <w:r>
              <w:t>C10021</w:t>
            </w:r>
          </w:p>
        </w:tc>
        <w:tc>
          <w:tcPr>
            <w:tcW w:w="1245" w:type="dxa"/>
            <w:vAlign w:val="center"/>
          </w:tcPr>
          <w:p w14:paraId="2DCEA177">
            <w:pPr>
              <w:rPr>
                <w:rFonts w:hint="eastAsia"/>
              </w:rPr>
            </w:pPr>
            <w:r>
              <w:t>10000</w:t>
            </w:r>
          </w:p>
        </w:tc>
        <w:tc>
          <w:tcPr>
            <w:tcW w:w="1245" w:type="dxa"/>
            <w:vAlign w:val="center"/>
          </w:tcPr>
          <w:p w14:paraId="6B150D32">
            <w:pPr>
              <w:rPr>
                <w:rFonts w:hint="eastAsia"/>
              </w:rPr>
            </w:pPr>
            <w:r>
              <w:t>2100</w:t>
            </w:r>
          </w:p>
        </w:tc>
        <w:tc>
          <w:tcPr>
            <w:tcW w:w="1301" w:type="dxa"/>
            <w:vAlign w:val="center"/>
          </w:tcPr>
          <w:p w14:paraId="21A8357F">
            <w:pPr>
              <w:rPr>
                <w:rFonts w:hint="eastAsia"/>
              </w:rPr>
            </w:pPr>
            <w:r>
              <w:t>单层铝窗</w:t>
            </w:r>
          </w:p>
        </w:tc>
        <w:tc>
          <w:tcPr>
            <w:tcW w:w="1301" w:type="dxa"/>
            <w:vAlign w:val="center"/>
          </w:tcPr>
          <w:p w14:paraId="4D190634">
            <w:pPr>
              <w:rPr>
                <w:rFonts w:hint="eastAsia"/>
              </w:rPr>
            </w:pPr>
            <w:r>
              <w:t>普通玻璃</w:t>
            </w:r>
          </w:p>
        </w:tc>
        <w:tc>
          <w:tcPr>
            <w:tcW w:w="1516" w:type="dxa"/>
            <w:vAlign w:val="center"/>
          </w:tcPr>
          <w:p w14:paraId="540FD427">
            <w:pPr>
              <w:rPr>
                <w:rFonts w:hint="eastAsia"/>
              </w:rPr>
            </w:pPr>
            <w:r>
              <w:t>0.89</w:t>
            </w:r>
          </w:p>
        </w:tc>
        <w:tc>
          <w:tcPr>
            <w:tcW w:w="1358" w:type="dxa"/>
            <w:vAlign w:val="center"/>
          </w:tcPr>
          <w:p w14:paraId="7E4ABF25">
            <w:pPr>
              <w:rPr>
                <w:rFonts w:hint="eastAsia"/>
              </w:rPr>
            </w:pPr>
            <w:r>
              <w:t>0.08</w:t>
            </w:r>
          </w:p>
        </w:tc>
      </w:tr>
      <w:tr w14:paraId="10FFD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 w14:paraId="09E9651C">
            <w:pPr>
              <w:rPr>
                <w:rFonts w:hint="eastAsia"/>
              </w:rPr>
            </w:pPr>
            <w:r>
              <w:t>C1021</w:t>
            </w:r>
          </w:p>
        </w:tc>
        <w:tc>
          <w:tcPr>
            <w:tcW w:w="1245" w:type="dxa"/>
            <w:vAlign w:val="center"/>
          </w:tcPr>
          <w:p w14:paraId="59D89260">
            <w:pPr>
              <w:rPr>
                <w:rFonts w:hint="eastAsia"/>
              </w:rPr>
            </w:pPr>
            <w:r>
              <w:t>1000</w:t>
            </w:r>
          </w:p>
        </w:tc>
        <w:tc>
          <w:tcPr>
            <w:tcW w:w="1245" w:type="dxa"/>
            <w:vAlign w:val="center"/>
          </w:tcPr>
          <w:p w14:paraId="64745759">
            <w:pPr>
              <w:rPr>
                <w:rFonts w:hint="eastAsia"/>
              </w:rPr>
            </w:pPr>
            <w:r>
              <w:t>2100</w:t>
            </w:r>
          </w:p>
        </w:tc>
        <w:tc>
          <w:tcPr>
            <w:tcW w:w="1301" w:type="dxa"/>
            <w:vAlign w:val="center"/>
          </w:tcPr>
          <w:p w14:paraId="5E47CF71">
            <w:pPr>
              <w:rPr>
                <w:rFonts w:hint="eastAsia"/>
              </w:rPr>
            </w:pPr>
            <w:r>
              <w:t>单层铝窗</w:t>
            </w:r>
          </w:p>
        </w:tc>
        <w:tc>
          <w:tcPr>
            <w:tcW w:w="1301" w:type="dxa"/>
            <w:vAlign w:val="center"/>
          </w:tcPr>
          <w:p w14:paraId="03EE014A">
            <w:pPr>
              <w:rPr>
                <w:rFonts w:hint="eastAsia"/>
              </w:rPr>
            </w:pPr>
            <w:r>
              <w:t>普通玻璃</w:t>
            </w:r>
          </w:p>
        </w:tc>
        <w:tc>
          <w:tcPr>
            <w:tcW w:w="1516" w:type="dxa"/>
            <w:vAlign w:val="center"/>
          </w:tcPr>
          <w:p w14:paraId="5CB42230">
            <w:pPr>
              <w:rPr>
                <w:rFonts w:hint="eastAsia"/>
              </w:rPr>
            </w:pPr>
            <w:r>
              <w:t>0.89</w:t>
            </w:r>
          </w:p>
        </w:tc>
        <w:tc>
          <w:tcPr>
            <w:tcW w:w="1358" w:type="dxa"/>
            <w:vAlign w:val="center"/>
          </w:tcPr>
          <w:p w14:paraId="05906F05">
            <w:pPr>
              <w:rPr>
                <w:rFonts w:hint="eastAsia"/>
              </w:rPr>
            </w:pPr>
            <w:r>
              <w:t>0.08</w:t>
            </w:r>
          </w:p>
        </w:tc>
      </w:tr>
      <w:tr w14:paraId="75ACC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 w14:paraId="41B44268">
            <w:pPr>
              <w:rPr>
                <w:rFonts w:hint="eastAsia"/>
              </w:rPr>
            </w:pPr>
            <w:r>
              <w:t>C11021</w:t>
            </w:r>
          </w:p>
        </w:tc>
        <w:tc>
          <w:tcPr>
            <w:tcW w:w="1245" w:type="dxa"/>
            <w:vAlign w:val="center"/>
          </w:tcPr>
          <w:p w14:paraId="3B646859">
            <w:pPr>
              <w:rPr>
                <w:rFonts w:hint="eastAsia"/>
              </w:rPr>
            </w:pPr>
            <w:r>
              <w:t>11000</w:t>
            </w:r>
          </w:p>
        </w:tc>
        <w:tc>
          <w:tcPr>
            <w:tcW w:w="1245" w:type="dxa"/>
            <w:vAlign w:val="center"/>
          </w:tcPr>
          <w:p w14:paraId="1603ECA3">
            <w:pPr>
              <w:rPr>
                <w:rFonts w:hint="eastAsia"/>
              </w:rPr>
            </w:pPr>
            <w:r>
              <w:t>2100</w:t>
            </w:r>
          </w:p>
        </w:tc>
        <w:tc>
          <w:tcPr>
            <w:tcW w:w="1301" w:type="dxa"/>
            <w:vAlign w:val="center"/>
          </w:tcPr>
          <w:p w14:paraId="2F99D593">
            <w:pPr>
              <w:rPr>
                <w:rFonts w:hint="eastAsia"/>
              </w:rPr>
            </w:pPr>
            <w:r>
              <w:t>单层铝窗</w:t>
            </w:r>
          </w:p>
        </w:tc>
        <w:tc>
          <w:tcPr>
            <w:tcW w:w="1301" w:type="dxa"/>
            <w:vAlign w:val="center"/>
          </w:tcPr>
          <w:p w14:paraId="3BA33042">
            <w:pPr>
              <w:rPr>
                <w:rFonts w:hint="eastAsia"/>
              </w:rPr>
            </w:pPr>
            <w:r>
              <w:t>普通玻璃</w:t>
            </w:r>
          </w:p>
        </w:tc>
        <w:tc>
          <w:tcPr>
            <w:tcW w:w="1516" w:type="dxa"/>
            <w:vAlign w:val="center"/>
          </w:tcPr>
          <w:p w14:paraId="7E7F353B">
            <w:pPr>
              <w:rPr>
                <w:rFonts w:hint="eastAsia"/>
              </w:rPr>
            </w:pPr>
            <w:r>
              <w:t>0.89</w:t>
            </w:r>
          </w:p>
        </w:tc>
        <w:tc>
          <w:tcPr>
            <w:tcW w:w="1358" w:type="dxa"/>
            <w:vAlign w:val="center"/>
          </w:tcPr>
          <w:p w14:paraId="712A0FCB">
            <w:pPr>
              <w:rPr>
                <w:rFonts w:hint="eastAsia"/>
              </w:rPr>
            </w:pPr>
            <w:r>
              <w:t>0.08</w:t>
            </w:r>
          </w:p>
        </w:tc>
      </w:tr>
      <w:tr w14:paraId="1260B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 w14:paraId="003D4CB5">
            <w:pPr>
              <w:rPr>
                <w:rFonts w:hint="eastAsia"/>
              </w:rPr>
            </w:pPr>
            <w:r>
              <w:t>C1521</w:t>
            </w:r>
          </w:p>
        </w:tc>
        <w:tc>
          <w:tcPr>
            <w:tcW w:w="1245" w:type="dxa"/>
            <w:vAlign w:val="center"/>
          </w:tcPr>
          <w:p w14:paraId="4AB460B1">
            <w:pPr>
              <w:rPr>
                <w:rFonts w:hint="eastAsia"/>
              </w:rPr>
            </w:pPr>
            <w:r>
              <w:t>1500</w:t>
            </w:r>
          </w:p>
        </w:tc>
        <w:tc>
          <w:tcPr>
            <w:tcW w:w="1245" w:type="dxa"/>
            <w:vAlign w:val="center"/>
          </w:tcPr>
          <w:p w14:paraId="04EE5533">
            <w:pPr>
              <w:rPr>
                <w:rFonts w:hint="eastAsia"/>
              </w:rPr>
            </w:pPr>
            <w:r>
              <w:t>2100</w:t>
            </w:r>
          </w:p>
        </w:tc>
        <w:tc>
          <w:tcPr>
            <w:tcW w:w="1301" w:type="dxa"/>
            <w:vAlign w:val="center"/>
          </w:tcPr>
          <w:p w14:paraId="464740CC">
            <w:pPr>
              <w:rPr>
                <w:rFonts w:hint="eastAsia"/>
              </w:rPr>
            </w:pPr>
            <w:r>
              <w:t>单层铝窗</w:t>
            </w:r>
          </w:p>
        </w:tc>
        <w:tc>
          <w:tcPr>
            <w:tcW w:w="1301" w:type="dxa"/>
            <w:vAlign w:val="center"/>
          </w:tcPr>
          <w:p w14:paraId="368D9F96">
            <w:pPr>
              <w:rPr>
                <w:rFonts w:hint="eastAsia"/>
              </w:rPr>
            </w:pPr>
            <w:r>
              <w:t>普通玻璃</w:t>
            </w:r>
          </w:p>
        </w:tc>
        <w:tc>
          <w:tcPr>
            <w:tcW w:w="1516" w:type="dxa"/>
            <w:vAlign w:val="center"/>
          </w:tcPr>
          <w:p w14:paraId="72301049">
            <w:pPr>
              <w:rPr>
                <w:rFonts w:hint="eastAsia"/>
              </w:rPr>
            </w:pPr>
            <w:r>
              <w:t>0.89</w:t>
            </w:r>
          </w:p>
        </w:tc>
        <w:tc>
          <w:tcPr>
            <w:tcW w:w="1358" w:type="dxa"/>
            <w:vAlign w:val="center"/>
          </w:tcPr>
          <w:p w14:paraId="38EDB5B5">
            <w:pPr>
              <w:rPr>
                <w:rFonts w:hint="eastAsia"/>
              </w:rPr>
            </w:pPr>
            <w:r>
              <w:t>0.08</w:t>
            </w:r>
          </w:p>
        </w:tc>
      </w:tr>
      <w:tr w14:paraId="111FDD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 w14:paraId="2461A534">
            <w:pPr>
              <w:rPr>
                <w:rFonts w:hint="eastAsia"/>
              </w:rPr>
            </w:pPr>
            <w:r>
              <w:t>C1821</w:t>
            </w:r>
          </w:p>
        </w:tc>
        <w:tc>
          <w:tcPr>
            <w:tcW w:w="1245" w:type="dxa"/>
            <w:vAlign w:val="center"/>
          </w:tcPr>
          <w:p w14:paraId="510B7968">
            <w:pPr>
              <w:rPr>
                <w:rFonts w:hint="eastAsia"/>
              </w:rPr>
            </w:pPr>
            <w:r>
              <w:t>1800</w:t>
            </w:r>
          </w:p>
        </w:tc>
        <w:tc>
          <w:tcPr>
            <w:tcW w:w="1245" w:type="dxa"/>
            <w:vAlign w:val="center"/>
          </w:tcPr>
          <w:p w14:paraId="403D697E">
            <w:pPr>
              <w:rPr>
                <w:rFonts w:hint="eastAsia"/>
              </w:rPr>
            </w:pPr>
            <w:r>
              <w:t>2100</w:t>
            </w:r>
          </w:p>
        </w:tc>
        <w:tc>
          <w:tcPr>
            <w:tcW w:w="1301" w:type="dxa"/>
            <w:vAlign w:val="center"/>
          </w:tcPr>
          <w:p w14:paraId="0F04D108">
            <w:pPr>
              <w:rPr>
                <w:rFonts w:hint="eastAsia"/>
              </w:rPr>
            </w:pPr>
            <w:r>
              <w:t>单层铝窗</w:t>
            </w:r>
          </w:p>
        </w:tc>
        <w:tc>
          <w:tcPr>
            <w:tcW w:w="1301" w:type="dxa"/>
            <w:vAlign w:val="center"/>
          </w:tcPr>
          <w:p w14:paraId="46D3D39B">
            <w:pPr>
              <w:rPr>
                <w:rFonts w:hint="eastAsia"/>
              </w:rPr>
            </w:pPr>
            <w:r>
              <w:t>普通玻璃</w:t>
            </w:r>
          </w:p>
        </w:tc>
        <w:tc>
          <w:tcPr>
            <w:tcW w:w="1516" w:type="dxa"/>
            <w:vAlign w:val="center"/>
          </w:tcPr>
          <w:p w14:paraId="4769C7E3">
            <w:pPr>
              <w:rPr>
                <w:rFonts w:hint="eastAsia"/>
              </w:rPr>
            </w:pPr>
            <w:r>
              <w:t>0.89</w:t>
            </w:r>
          </w:p>
        </w:tc>
        <w:tc>
          <w:tcPr>
            <w:tcW w:w="1358" w:type="dxa"/>
            <w:vAlign w:val="center"/>
          </w:tcPr>
          <w:p w14:paraId="40261C7E">
            <w:pPr>
              <w:rPr>
                <w:rFonts w:hint="eastAsia"/>
              </w:rPr>
            </w:pPr>
            <w:r>
              <w:t>0.08</w:t>
            </w:r>
          </w:p>
        </w:tc>
      </w:tr>
      <w:tr w14:paraId="544F3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 w14:paraId="0E72D5D1">
            <w:pPr>
              <w:rPr>
                <w:rFonts w:hint="eastAsia"/>
              </w:rPr>
            </w:pPr>
            <w:r>
              <w:t>C2021</w:t>
            </w:r>
          </w:p>
        </w:tc>
        <w:tc>
          <w:tcPr>
            <w:tcW w:w="1245" w:type="dxa"/>
            <w:vAlign w:val="center"/>
          </w:tcPr>
          <w:p w14:paraId="66816773">
            <w:pPr>
              <w:rPr>
                <w:rFonts w:hint="eastAsia"/>
              </w:rPr>
            </w:pPr>
            <w:r>
              <w:t>2000</w:t>
            </w:r>
          </w:p>
        </w:tc>
        <w:tc>
          <w:tcPr>
            <w:tcW w:w="1245" w:type="dxa"/>
            <w:vAlign w:val="center"/>
          </w:tcPr>
          <w:p w14:paraId="0D6A8D48">
            <w:pPr>
              <w:rPr>
                <w:rFonts w:hint="eastAsia"/>
              </w:rPr>
            </w:pPr>
            <w:r>
              <w:t>2100</w:t>
            </w:r>
          </w:p>
        </w:tc>
        <w:tc>
          <w:tcPr>
            <w:tcW w:w="1301" w:type="dxa"/>
            <w:vAlign w:val="center"/>
          </w:tcPr>
          <w:p w14:paraId="4BBAC937">
            <w:pPr>
              <w:rPr>
                <w:rFonts w:hint="eastAsia"/>
              </w:rPr>
            </w:pPr>
            <w:r>
              <w:t>单层铝窗</w:t>
            </w:r>
          </w:p>
        </w:tc>
        <w:tc>
          <w:tcPr>
            <w:tcW w:w="1301" w:type="dxa"/>
            <w:vAlign w:val="center"/>
          </w:tcPr>
          <w:p w14:paraId="57C61673">
            <w:pPr>
              <w:rPr>
                <w:rFonts w:hint="eastAsia"/>
              </w:rPr>
            </w:pPr>
            <w:r>
              <w:t>普通玻璃</w:t>
            </w:r>
          </w:p>
        </w:tc>
        <w:tc>
          <w:tcPr>
            <w:tcW w:w="1516" w:type="dxa"/>
            <w:vAlign w:val="center"/>
          </w:tcPr>
          <w:p w14:paraId="655820F4">
            <w:pPr>
              <w:rPr>
                <w:rFonts w:hint="eastAsia"/>
              </w:rPr>
            </w:pPr>
            <w:r>
              <w:t>0.89</w:t>
            </w:r>
          </w:p>
        </w:tc>
        <w:tc>
          <w:tcPr>
            <w:tcW w:w="1358" w:type="dxa"/>
            <w:vAlign w:val="center"/>
          </w:tcPr>
          <w:p w14:paraId="00F50F0E">
            <w:pPr>
              <w:rPr>
                <w:rFonts w:hint="eastAsia"/>
              </w:rPr>
            </w:pPr>
            <w:r>
              <w:t>0.08</w:t>
            </w:r>
          </w:p>
        </w:tc>
      </w:tr>
      <w:tr w14:paraId="08BD48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 w14:paraId="7E82D1C7">
            <w:pPr>
              <w:rPr>
                <w:rFonts w:hint="eastAsia"/>
              </w:rPr>
            </w:pPr>
            <w:r>
              <w:t>C2521</w:t>
            </w:r>
          </w:p>
        </w:tc>
        <w:tc>
          <w:tcPr>
            <w:tcW w:w="1245" w:type="dxa"/>
            <w:vAlign w:val="center"/>
          </w:tcPr>
          <w:p w14:paraId="7BB6AFD5">
            <w:pPr>
              <w:rPr>
                <w:rFonts w:hint="eastAsia"/>
              </w:rPr>
            </w:pPr>
            <w:r>
              <w:t>2500</w:t>
            </w:r>
          </w:p>
        </w:tc>
        <w:tc>
          <w:tcPr>
            <w:tcW w:w="1245" w:type="dxa"/>
            <w:vAlign w:val="center"/>
          </w:tcPr>
          <w:p w14:paraId="2A8477FD">
            <w:pPr>
              <w:rPr>
                <w:rFonts w:hint="eastAsia"/>
              </w:rPr>
            </w:pPr>
            <w:r>
              <w:t>2100</w:t>
            </w:r>
          </w:p>
        </w:tc>
        <w:tc>
          <w:tcPr>
            <w:tcW w:w="1301" w:type="dxa"/>
            <w:vAlign w:val="center"/>
          </w:tcPr>
          <w:p w14:paraId="36FBF742">
            <w:pPr>
              <w:rPr>
                <w:rFonts w:hint="eastAsia"/>
              </w:rPr>
            </w:pPr>
            <w:r>
              <w:t>单层铝窗</w:t>
            </w:r>
          </w:p>
        </w:tc>
        <w:tc>
          <w:tcPr>
            <w:tcW w:w="1301" w:type="dxa"/>
            <w:vAlign w:val="center"/>
          </w:tcPr>
          <w:p w14:paraId="7B496A5A">
            <w:pPr>
              <w:rPr>
                <w:rFonts w:hint="eastAsia"/>
              </w:rPr>
            </w:pPr>
            <w:r>
              <w:t>普通玻璃</w:t>
            </w:r>
          </w:p>
        </w:tc>
        <w:tc>
          <w:tcPr>
            <w:tcW w:w="1516" w:type="dxa"/>
            <w:vAlign w:val="center"/>
          </w:tcPr>
          <w:p w14:paraId="4A81F48F">
            <w:pPr>
              <w:rPr>
                <w:rFonts w:hint="eastAsia"/>
              </w:rPr>
            </w:pPr>
            <w:r>
              <w:t>0.89</w:t>
            </w:r>
          </w:p>
        </w:tc>
        <w:tc>
          <w:tcPr>
            <w:tcW w:w="1358" w:type="dxa"/>
            <w:vAlign w:val="center"/>
          </w:tcPr>
          <w:p w14:paraId="768FE125">
            <w:pPr>
              <w:rPr>
                <w:rFonts w:hint="eastAsia"/>
              </w:rPr>
            </w:pPr>
            <w:r>
              <w:t>0.08</w:t>
            </w:r>
          </w:p>
        </w:tc>
      </w:tr>
      <w:tr w14:paraId="15A6F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 w14:paraId="60901400">
            <w:pPr>
              <w:rPr>
                <w:rFonts w:hint="eastAsia"/>
              </w:rPr>
            </w:pPr>
            <w:r>
              <w:t>C4021</w:t>
            </w:r>
          </w:p>
        </w:tc>
        <w:tc>
          <w:tcPr>
            <w:tcW w:w="1245" w:type="dxa"/>
            <w:vAlign w:val="center"/>
          </w:tcPr>
          <w:p w14:paraId="125C29C1">
            <w:pPr>
              <w:rPr>
                <w:rFonts w:hint="eastAsia"/>
              </w:rPr>
            </w:pPr>
            <w:r>
              <w:t>4000</w:t>
            </w:r>
          </w:p>
        </w:tc>
        <w:tc>
          <w:tcPr>
            <w:tcW w:w="1245" w:type="dxa"/>
            <w:vAlign w:val="center"/>
          </w:tcPr>
          <w:p w14:paraId="74BA9E36">
            <w:pPr>
              <w:rPr>
                <w:rFonts w:hint="eastAsia"/>
              </w:rPr>
            </w:pPr>
            <w:r>
              <w:t>2100</w:t>
            </w:r>
          </w:p>
        </w:tc>
        <w:tc>
          <w:tcPr>
            <w:tcW w:w="1301" w:type="dxa"/>
            <w:vAlign w:val="center"/>
          </w:tcPr>
          <w:p w14:paraId="36547A4C">
            <w:pPr>
              <w:rPr>
                <w:rFonts w:hint="eastAsia"/>
              </w:rPr>
            </w:pPr>
            <w:r>
              <w:t>单层铝窗</w:t>
            </w:r>
          </w:p>
        </w:tc>
        <w:tc>
          <w:tcPr>
            <w:tcW w:w="1301" w:type="dxa"/>
            <w:vAlign w:val="center"/>
          </w:tcPr>
          <w:p w14:paraId="61E4990A">
            <w:pPr>
              <w:rPr>
                <w:rFonts w:hint="eastAsia"/>
              </w:rPr>
            </w:pPr>
            <w:r>
              <w:t>普通玻璃</w:t>
            </w:r>
          </w:p>
        </w:tc>
        <w:tc>
          <w:tcPr>
            <w:tcW w:w="1516" w:type="dxa"/>
            <w:vAlign w:val="center"/>
          </w:tcPr>
          <w:p w14:paraId="19CFEFE6">
            <w:pPr>
              <w:rPr>
                <w:rFonts w:hint="eastAsia"/>
              </w:rPr>
            </w:pPr>
            <w:r>
              <w:t>0.89</w:t>
            </w:r>
          </w:p>
        </w:tc>
        <w:tc>
          <w:tcPr>
            <w:tcW w:w="1358" w:type="dxa"/>
            <w:vAlign w:val="center"/>
          </w:tcPr>
          <w:p w14:paraId="5933072C">
            <w:pPr>
              <w:rPr>
                <w:rFonts w:hint="eastAsia"/>
              </w:rPr>
            </w:pPr>
            <w:r>
              <w:t>0.08</w:t>
            </w:r>
          </w:p>
        </w:tc>
      </w:tr>
      <w:tr w14:paraId="51F090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 w14:paraId="41F05FD1">
            <w:pPr>
              <w:rPr>
                <w:rFonts w:hint="eastAsia"/>
              </w:rPr>
            </w:pPr>
            <w:r>
              <w:t>C5021</w:t>
            </w:r>
          </w:p>
        </w:tc>
        <w:tc>
          <w:tcPr>
            <w:tcW w:w="1245" w:type="dxa"/>
            <w:vAlign w:val="center"/>
          </w:tcPr>
          <w:p w14:paraId="3D98AA7F">
            <w:pPr>
              <w:rPr>
                <w:rFonts w:hint="eastAsia"/>
              </w:rPr>
            </w:pPr>
            <w:r>
              <w:t>5000</w:t>
            </w:r>
          </w:p>
        </w:tc>
        <w:tc>
          <w:tcPr>
            <w:tcW w:w="1245" w:type="dxa"/>
            <w:vAlign w:val="center"/>
          </w:tcPr>
          <w:p w14:paraId="24D18E40">
            <w:pPr>
              <w:rPr>
                <w:rFonts w:hint="eastAsia"/>
              </w:rPr>
            </w:pPr>
            <w:r>
              <w:t>2100</w:t>
            </w:r>
          </w:p>
        </w:tc>
        <w:tc>
          <w:tcPr>
            <w:tcW w:w="1301" w:type="dxa"/>
            <w:vAlign w:val="center"/>
          </w:tcPr>
          <w:p w14:paraId="164AE500">
            <w:pPr>
              <w:rPr>
                <w:rFonts w:hint="eastAsia"/>
              </w:rPr>
            </w:pPr>
            <w:r>
              <w:t>单层铝窗</w:t>
            </w:r>
          </w:p>
        </w:tc>
        <w:tc>
          <w:tcPr>
            <w:tcW w:w="1301" w:type="dxa"/>
            <w:vAlign w:val="center"/>
          </w:tcPr>
          <w:p w14:paraId="523FE9DF">
            <w:pPr>
              <w:rPr>
                <w:rFonts w:hint="eastAsia"/>
              </w:rPr>
            </w:pPr>
            <w:r>
              <w:t>普通玻璃</w:t>
            </w:r>
          </w:p>
        </w:tc>
        <w:tc>
          <w:tcPr>
            <w:tcW w:w="1516" w:type="dxa"/>
            <w:vAlign w:val="center"/>
          </w:tcPr>
          <w:p w14:paraId="78FBE4AD">
            <w:pPr>
              <w:rPr>
                <w:rFonts w:hint="eastAsia"/>
              </w:rPr>
            </w:pPr>
            <w:r>
              <w:t>0.89</w:t>
            </w:r>
          </w:p>
        </w:tc>
        <w:tc>
          <w:tcPr>
            <w:tcW w:w="1358" w:type="dxa"/>
            <w:vAlign w:val="center"/>
          </w:tcPr>
          <w:p w14:paraId="7280CACA">
            <w:pPr>
              <w:rPr>
                <w:rFonts w:hint="eastAsia"/>
              </w:rPr>
            </w:pPr>
            <w:r>
              <w:t>0.08</w:t>
            </w:r>
          </w:p>
        </w:tc>
      </w:tr>
      <w:tr w14:paraId="23996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 w14:paraId="14EA5ED1">
            <w:pPr>
              <w:rPr>
                <w:rFonts w:hint="eastAsia"/>
              </w:rPr>
            </w:pPr>
            <w:r>
              <w:t>C5521</w:t>
            </w:r>
          </w:p>
        </w:tc>
        <w:tc>
          <w:tcPr>
            <w:tcW w:w="1245" w:type="dxa"/>
            <w:vAlign w:val="center"/>
          </w:tcPr>
          <w:p w14:paraId="7E442CF9">
            <w:pPr>
              <w:rPr>
                <w:rFonts w:hint="eastAsia"/>
              </w:rPr>
            </w:pPr>
            <w:r>
              <w:t>5500</w:t>
            </w:r>
          </w:p>
        </w:tc>
        <w:tc>
          <w:tcPr>
            <w:tcW w:w="1245" w:type="dxa"/>
            <w:vAlign w:val="center"/>
          </w:tcPr>
          <w:p w14:paraId="187E3D60">
            <w:pPr>
              <w:rPr>
                <w:rFonts w:hint="eastAsia"/>
              </w:rPr>
            </w:pPr>
            <w:r>
              <w:t>2100</w:t>
            </w:r>
          </w:p>
        </w:tc>
        <w:tc>
          <w:tcPr>
            <w:tcW w:w="1301" w:type="dxa"/>
            <w:vAlign w:val="center"/>
          </w:tcPr>
          <w:p w14:paraId="3E055B86">
            <w:pPr>
              <w:rPr>
                <w:rFonts w:hint="eastAsia"/>
              </w:rPr>
            </w:pPr>
            <w:r>
              <w:t>单层铝窗</w:t>
            </w:r>
          </w:p>
        </w:tc>
        <w:tc>
          <w:tcPr>
            <w:tcW w:w="1301" w:type="dxa"/>
            <w:vAlign w:val="center"/>
          </w:tcPr>
          <w:p w14:paraId="6E9500BD">
            <w:pPr>
              <w:rPr>
                <w:rFonts w:hint="eastAsia"/>
              </w:rPr>
            </w:pPr>
            <w:r>
              <w:t>普通玻璃</w:t>
            </w:r>
          </w:p>
        </w:tc>
        <w:tc>
          <w:tcPr>
            <w:tcW w:w="1516" w:type="dxa"/>
            <w:vAlign w:val="center"/>
          </w:tcPr>
          <w:p w14:paraId="654A436D">
            <w:pPr>
              <w:rPr>
                <w:rFonts w:hint="eastAsia"/>
              </w:rPr>
            </w:pPr>
            <w:r>
              <w:t>0.89</w:t>
            </w:r>
          </w:p>
        </w:tc>
        <w:tc>
          <w:tcPr>
            <w:tcW w:w="1358" w:type="dxa"/>
            <w:vAlign w:val="center"/>
          </w:tcPr>
          <w:p w14:paraId="6D0994AC">
            <w:pPr>
              <w:rPr>
                <w:rFonts w:hint="eastAsia"/>
              </w:rPr>
            </w:pPr>
            <w:r>
              <w:t>0.08</w:t>
            </w:r>
          </w:p>
        </w:tc>
      </w:tr>
      <w:tr w14:paraId="3B8947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 w14:paraId="50626209">
            <w:pPr>
              <w:rPr>
                <w:rFonts w:hint="eastAsia"/>
              </w:rPr>
            </w:pPr>
            <w:r>
              <w:t>C6021</w:t>
            </w:r>
          </w:p>
        </w:tc>
        <w:tc>
          <w:tcPr>
            <w:tcW w:w="1245" w:type="dxa"/>
            <w:vAlign w:val="center"/>
          </w:tcPr>
          <w:p w14:paraId="6957E250">
            <w:pPr>
              <w:rPr>
                <w:rFonts w:hint="eastAsia"/>
              </w:rPr>
            </w:pPr>
            <w:r>
              <w:t>6000</w:t>
            </w:r>
          </w:p>
        </w:tc>
        <w:tc>
          <w:tcPr>
            <w:tcW w:w="1245" w:type="dxa"/>
            <w:vAlign w:val="center"/>
          </w:tcPr>
          <w:p w14:paraId="6B91F83E">
            <w:pPr>
              <w:rPr>
                <w:rFonts w:hint="eastAsia"/>
              </w:rPr>
            </w:pPr>
            <w:r>
              <w:t>2100</w:t>
            </w:r>
          </w:p>
        </w:tc>
        <w:tc>
          <w:tcPr>
            <w:tcW w:w="1301" w:type="dxa"/>
            <w:vAlign w:val="center"/>
          </w:tcPr>
          <w:p w14:paraId="59ED52EA">
            <w:pPr>
              <w:rPr>
                <w:rFonts w:hint="eastAsia"/>
              </w:rPr>
            </w:pPr>
            <w:r>
              <w:t>单层铝窗</w:t>
            </w:r>
          </w:p>
        </w:tc>
        <w:tc>
          <w:tcPr>
            <w:tcW w:w="1301" w:type="dxa"/>
            <w:vAlign w:val="center"/>
          </w:tcPr>
          <w:p w14:paraId="0092C689">
            <w:pPr>
              <w:rPr>
                <w:rFonts w:hint="eastAsia"/>
              </w:rPr>
            </w:pPr>
            <w:r>
              <w:t>普通玻璃</w:t>
            </w:r>
          </w:p>
        </w:tc>
        <w:tc>
          <w:tcPr>
            <w:tcW w:w="1516" w:type="dxa"/>
            <w:vAlign w:val="center"/>
          </w:tcPr>
          <w:p w14:paraId="19D71BFC">
            <w:pPr>
              <w:rPr>
                <w:rFonts w:hint="eastAsia"/>
              </w:rPr>
            </w:pPr>
            <w:r>
              <w:t>0.89</w:t>
            </w:r>
          </w:p>
        </w:tc>
        <w:tc>
          <w:tcPr>
            <w:tcW w:w="1358" w:type="dxa"/>
            <w:vAlign w:val="center"/>
          </w:tcPr>
          <w:p w14:paraId="6C595E73">
            <w:pPr>
              <w:rPr>
                <w:rFonts w:hint="eastAsia"/>
              </w:rPr>
            </w:pPr>
            <w:r>
              <w:t>0.08</w:t>
            </w:r>
          </w:p>
        </w:tc>
      </w:tr>
      <w:tr w14:paraId="1F2D1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 w14:paraId="1C7D0A21">
            <w:pPr>
              <w:rPr>
                <w:rFonts w:hint="eastAsia"/>
              </w:rPr>
            </w:pPr>
            <w:r>
              <w:t>C9021</w:t>
            </w:r>
          </w:p>
        </w:tc>
        <w:tc>
          <w:tcPr>
            <w:tcW w:w="1245" w:type="dxa"/>
            <w:vAlign w:val="center"/>
          </w:tcPr>
          <w:p w14:paraId="03FA59FA">
            <w:pPr>
              <w:rPr>
                <w:rFonts w:hint="eastAsia"/>
              </w:rPr>
            </w:pPr>
            <w:r>
              <w:t>9000</w:t>
            </w:r>
          </w:p>
        </w:tc>
        <w:tc>
          <w:tcPr>
            <w:tcW w:w="1245" w:type="dxa"/>
            <w:vAlign w:val="center"/>
          </w:tcPr>
          <w:p w14:paraId="365A71F6">
            <w:pPr>
              <w:rPr>
                <w:rFonts w:hint="eastAsia"/>
              </w:rPr>
            </w:pPr>
            <w:r>
              <w:t>2100</w:t>
            </w:r>
          </w:p>
        </w:tc>
        <w:tc>
          <w:tcPr>
            <w:tcW w:w="1301" w:type="dxa"/>
            <w:vAlign w:val="center"/>
          </w:tcPr>
          <w:p w14:paraId="46D2AF4D">
            <w:pPr>
              <w:rPr>
                <w:rFonts w:hint="eastAsia"/>
              </w:rPr>
            </w:pPr>
            <w:r>
              <w:t>单层铝窗</w:t>
            </w:r>
          </w:p>
        </w:tc>
        <w:tc>
          <w:tcPr>
            <w:tcW w:w="1301" w:type="dxa"/>
            <w:vAlign w:val="center"/>
          </w:tcPr>
          <w:p w14:paraId="1B9BFB03">
            <w:pPr>
              <w:rPr>
                <w:rFonts w:hint="eastAsia"/>
              </w:rPr>
            </w:pPr>
            <w:r>
              <w:t>普通玻璃</w:t>
            </w:r>
          </w:p>
        </w:tc>
        <w:tc>
          <w:tcPr>
            <w:tcW w:w="1516" w:type="dxa"/>
            <w:vAlign w:val="center"/>
          </w:tcPr>
          <w:p w14:paraId="49F953FE">
            <w:pPr>
              <w:rPr>
                <w:rFonts w:hint="eastAsia"/>
              </w:rPr>
            </w:pPr>
            <w:r>
              <w:t>0.89</w:t>
            </w:r>
          </w:p>
        </w:tc>
        <w:tc>
          <w:tcPr>
            <w:tcW w:w="1358" w:type="dxa"/>
            <w:vAlign w:val="center"/>
          </w:tcPr>
          <w:p w14:paraId="7D18100F">
            <w:pPr>
              <w:rPr>
                <w:rFonts w:hint="eastAsia"/>
              </w:rPr>
            </w:pPr>
            <w:r>
              <w:t>0.08</w:t>
            </w:r>
          </w:p>
        </w:tc>
      </w:tr>
    </w:tbl>
    <w:p w14:paraId="20259B2D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5DBED654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7D312B34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62537029">
      <w:pPr>
        <w:pStyle w:val="5"/>
        <w:rPr>
          <w:rFonts w:hint="eastAsia" w:ascii="微软雅黑" w:hAnsi="微软雅黑"/>
        </w:rPr>
      </w:pPr>
      <w:bookmarkStart w:id="41" w:name="_Toc186050901"/>
      <w:bookmarkStart w:id="42" w:name="天窗"/>
      <w:r>
        <w:rPr>
          <w:rFonts w:hint="eastAsia" w:ascii="微软雅黑" w:hAnsi="微软雅黑"/>
        </w:rPr>
        <w:t xml:space="preserve">天 </w:t>
      </w:r>
      <w:r>
        <w:rPr>
          <w:rFonts w:ascii="微软雅黑" w:hAnsi="微软雅黑"/>
        </w:rPr>
        <w:t xml:space="preserve"> </w:t>
      </w:r>
      <w:r>
        <w:rPr>
          <w:rFonts w:hint="eastAsia" w:ascii="微软雅黑" w:hAnsi="微软雅黑"/>
        </w:rPr>
        <w:t>窗</w:t>
      </w:r>
      <w:bookmarkEnd w:id="41"/>
    </w:p>
    <w:bookmarkEnd w:id="42"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03"/>
        <w:gridCol w:w="1103"/>
        <w:gridCol w:w="963"/>
        <w:gridCol w:w="1132"/>
        <w:gridCol w:w="1132"/>
        <w:gridCol w:w="1500"/>
        <w:gridCol w:w="1302"/>
      </w:tblGrid>
      <w:tr w14:paraId="096B1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shd w:val="clear" w:color="auto" w:fill="E6E6E6"/>
            <w:vAlign w:val="center"/>
          </w:tcPr>
          <w:p w14:paraId="3602C1EB">
            <w:pPr>
              <w:rPr>
                <w:rFonts w:hint="eastAsia"/>
              </w:rPr>
            </w:pPr>
            <w:r>
              <w:t>门窗编号</w:t>
            </w:r>
          </w:p>
        </w:tc>
        <w:tc>
          <w:tcPr>
            <w:tcW w:w="1103" w:type="dxa"/>
            <w:shd w:val="clear" w:color="auto" w:fill="E6E6E6"/>
            <w:vAlign w:val="center"/>
          </w:tcPr>
          <w:p w14:paraId="22D612DD">
            <w:pPr>
              <w:rPr>
                <w:rFonts w:hint="eastAsia"/>
              </w:rPr>
            </w:pPr>
            <w:r>
              <w:t>宽度(mm)</w:t>
            </w:r>
          </w:p>
        </w:tc>
        <w:tc>
          <w:tcPr>
            <w:tcW w:w="1103" w:type="dxa"/>
            <w:shd w:val="clear" w:color="auto" w:fill="E6E6E6"/>
            <w:vAlign w:val="center"/>
          </w:tcPr>
          <w:p w14:paraId="099E6E7F">
            <w:pPr>
              <w:rPr>
                <w:rFonts w:hint="eastAsia"/>
              </w:rPr>
            </w:pPr>
            <w:r>
              <w:t>高度(mm)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E01B92F">
            <w:pPr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29F8A5">
            <w:pPr>
              <w:rPr>
                <w:rFonts w:hint="eastAsia"/>
              </w:rPr>
            </w:pPr>
            <w:r>
              <w:t>窗框类型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34B11A">
            <w:pPr>
              <w:rPr>
                <w:rFonts w:hint="eastAsia"/>
              </w:rPr>
            </w:pPr>
            <w:r>
              <w:t>玻璃类型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4C7B0025">
            <w:pPr>
              <w:rPr>
                <w:rFonts w:hint="eastAsia"/>
              </w:rPr>
            </w:pPr>
            <w:r>
              <w:t>可见光透射比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5C17325">
            <w:pPr>
              <w:rPr>
                <w:rFonts w:hint="eastAsia"/>
              </w:rPr>
            </w:pPr>
            <w:r>
              <w:t>玻璃反射比</w:t>
            </w:r>
          </w:p>
        </w:tc>
      </w:tr>
      <w:tr w14:paraId="56093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 w14:paraId="6C0DC02D">
            <w:pPr>
              <w:rPr>
                <w:rFonts w:hint="eastAsia"/>
              </w:rPr>
            </w:pPr>
          </w:p>
        </w:tc>
        <w:tc>
          <w:tcPr>
            <w:tcW w:w="1103" w:type="dxa"/>
            <w:vAlign w:val="center"/>
          </w:tcPr>
          <w:p w14:paraId="66926B84">
            <w:pPr>
              <w:rPr>
                <w:rFonts w:hint="eastAsia"/>
              </w:rPr>
            </w:pPr>
            <w:r>
              <w:t>2100</w:t>
            </w:r>
          </w:p>
        </w:tc>
        <w:tc>
          <w:tcPr>
            <w:tcW w:w="1103" w:type="dxa"/>
            <w:vAlign w:val="center"/>
          </w:tcPr>
          <w:p w14:paraId="1A3399D2">
            <w:pPr>
              <w:rPr>
                <w:rFonts w:hint="eastAsia"/>
              </w:rPr>
            </w:pPr>
            <w:r>
              <w:t>2100</w:t>
            </w:r>
          </w:p>
        </w:tc>
        <w:tc>
          <w:tcPr>
            <w:tcW w:w="962" w:type="dxa"/>
            <w:vAlign w:val="center"/>
          </w:tcPr>
          <w:p w14:paraId="48A0D239">
            <w:pPr>
              <w:rPr>
                <w:rFonts w:hint="eastAsia"/>
              </w:rPr>
            </w:pPr>
            <w:r>
              <w:t>4.410</w:t>
            </w:r>
          </w:p>
        </w:tc>
        <w:tc>
          <w:tcPr>
            <w:tcW w:w="1131" w:type="dxa"/>
            <w:vAlign w:val="center"/>
          </w:tcPr>
          <w:p w14:paraId="5CADB2BE">
            <w:pPr>
              <w:rPr>
                <w:rFonts w:hint="eastAsia"/>
              </w:rPr>
            </w:pPr>
            <w:r>
              <w:t>单层铝窗</w:t>
            </w:r>
          </w:p>
        </w:tc>
        <w:tc>
          <w:tcPr>
            <w:tcW w:w="1131" w:type="dxa"/>
            <w:vAlign w:val="center"/>
          </w:tcPr>
          <w:p w14:paraId="0EAEFB4B">
            <w:pPr>
              <w:rPr>
                <w:rFonts w:hint="eastAsia"/>
              </w:rPr>
            </w:pPr>
            <w:r>
              <w:t>普通玻璃</w:t>
            </w:r>
          </w:p>
        </w:tc>
        <w:tc>
          <w:tcPr>
            <w:tcW w:w="1499" w:type="dxa"/>
            <w:vAlign w:val="center"/>
          </w:tcPr>
          <w:p w14:paraId="69EB1EAC">
            <w:pPr>
              <w:rPr>
                <w:rFonts w:hint="eastAsia"/>
              </w:rPr>
            </w:pPr>
            <w:r>
              <w:t>0.89</w:t>
            </w:r>
          </w:p>
        </w:tc>
        <w:tc>
          <w:tcPr>
            <w:tcW w:w="1301" w:type="dxa"/>
            <w:vAlign w:val="center"/>
          </w:tcPr>
          <w:p w14:paraId="7C048FB0">
            <w:pPr>
              <w:rPr>
                <w:rFonts w:hint="eastAsia"/>
              </w:rPr>
            </w:pPr>
            <w:r>
              <w:t>0.08</w:t>
            </w:r>
          </w:p>
        </w:tc>
      </w:tr>
    </w:tbl>
    <w:p w14:paraId="3BDBFF73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</w:t>
      </w:r>
    </w:p>
    <w:p w14:paraId="01E3BC7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1.计算考虑了外窗玻璃的污染折减系数影响，系数取值和房间洁净度、玻璃倾角有关以及是否属于多雨地区有关。按照《建筑采光设计标准》GB50033附录表D.0.7取值。</w:t>
      </w:r>
    </w:p>
    <w:p w14:paraId="18C0F07A">
      <w:pPr>
        <w:pStyle w:val="2"/>
        <w:rPr>
          <w:rFonts w:hint="eastAsia" w:ascii="微软雅黑" w:hAnsi="微软雅黑"/>
        </w:rPr>
      </w:pPr>
      <w:bookmarkStart w:id="43" w:name="_Toc186050902"/>
      <w:r>
        <w:rPr>
          <w:rFonts w:hint="eastAsia" w:ascii="微软雅黑" w:hAnsi="微软雅黑"/>
        </w:rPr>
        <w:t>眩光分析结果</w:t>
      </w:r>
      <w:bookmarkEnd w:id="43"/>
    </w:p>
    <w:p w14:paraId="3CD63F5B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44" w:name="_Toc186050903"/>
      <w:r>
        <w:rPr>
          <w:rFonts w:hint="eastAsia" w:ascii="微软雅黑" w:hAnsi="微软雅黑"/>
        </w:rPr>
        <w:t>眩光指数</w:t>
      </w:r>
      <w:bookmarkEnd w:id="44"/>
    </w:p>
    <w:p w14:paraId="02495809">
      <w:pPr>
        <w:pStyle w:val="32"/>
        <w:ind w:firstLine="420" w:firstLineChars="200"/>
        <w:rPr>
          <w:rFonts w:hint="eastAsia"/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 w14:paraId="405C20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E6E6E6"/>
            <w:vAlign w:val="center"/>
          </w:tcPr>
          <w:p w14:paraId="52C2F9CE">
            <w:pPr>
              <w:rPr>
                <w:rFonts w:hint="eastAsia"/>
              </w:rPr>
            </w:pPr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F637F2">
            <w:pPr>
              <w:rPr>
                <w:rFonts w:hint="eastAsia"/>
              </w:rPr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CCFCCE">
            <w:pPr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F0B4606">
            <w:pPr>
              <w:rPr>
                <w:rFonts w:hint="eastAsia"/>
              </w:rPr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E8A3030">
            <w:pPr>
              <w:rPr>
                <w:rFonts w:hint="eastAsia"/>
              </w:rPr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1667A3BE">
            <w:pPr>
              <w:rPr>
                <w:rFonts w:hint="eastAsia"/>
              </w:rPr>
            </w:pPr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015EB5">
            <w:pPr>
              <w:rPr>
                <w:rFonts w:hint="eastAsia"/>
              </w:rPr>
            </w:pPr>
            <w:r>
              <w:t>眩光指数</w:t>
            </w:r>
            <w:r>
              <w:br w:type="textWrapping"/>
            </w:r>
            <w:r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9AFF73">
            <w:pPr>
              <w:rPr>
                <w:rFonts w:hint="eastAsia"/>
              </w:rPr>
            </w:pPr>
            <w:r>
              <w:t>DGI限值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146B35E">
            <w:pPr>
              <w:rPr>
                <w:rFonts w:hint="eastAsia"/>
              </w:rPr>
            </w:pPr>
            <w:r>
              <w:t>结论</w:t>
            </w:r>
          </w:p>
        </w:tc>
      </w:tr>
      <w:tr w14:paraId="6A425A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restart"/>
            <w:vAlign w:val="center"/>
          </w:tcPr>
          <w:p w14:paraId="29493295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826587D">
            <w:pPr>
              <w:rPr>
                <w:rFonts w:hint="eastAsia"/>
              </w:rPr>
            </w:pPr>
            <w:r>
              <w:t>1007</w:t>
            </w:r>
          </w:p>
        </w:tc>
        <w:tc>
          <w:tcPr>
            <w:tcW w:w="1075" w:type="dxa"/>
            <w:vAlign w:val="center"/>
          </w:tcPr>
          <w:p w14:paraId="721DB5DC">
            <w:pPr>
              <w:rPr>
                <w:rFonts w:hint="eastAsia"/>
              </w:rPr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78D69BE6">
            <w:pPr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C27C4CF">
            <w:pPr>
              <w:rPr>
                <w:rFonts w:hint="eastAsia"/>
              </w:rPr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CB61595">
            <w:pPr>
              <w:rPr>
                <w:rFonts w:hint="eastAsia"/>
              </w:rPr>
            </w:pPr>
            <w:r>
              <w:t>32.66</w:t>
            </w:r>
          </w:p>
        </w:tc>
        <w:tc>
          <w:tcPr>
            <w:tcW w:w="1075" w:type="dxa"/>
            <w:vAlign w:val="center"/>
          </w:tcPr>
          <w:p w14:paraId="7066F3E8">
            <w:pPr>
              <w:rPr>
                <w:rFonts w:hint="eastAsia"/>
              </w:rPr>
            </w:pPr>
            <w:r>
              <w:t>16.7</w:t>
            </w:r>
          </w:p>
        </w:tc>
        <w:tc>
          <w:tcPr>
            <w:tcW w:w="1075" w:type="dxa"/>
            <w:vAlign w:val="center"/>
          </w:tcPr>
          <w:p w14:paraId="38A7F202">
            <w:pPr>
              <w:rPr>
                <w:rFonts w:hint="eastAsia"/>
              </w:rPr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1DFC11C4">
            <w:pPr>
              <w:rPr>
                <w:rFonts w:hint="eastAsia"/>
              </w:rPr>
            </w:pPr>
            <w:r>
              <w:t>满足</w:t>
            </w:r>
          </w:p>
        </w:tc>
      </w:tr>
      <w:tr w14:paraId="26E3FD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 w14:paraId="0E8E39FA">
            <w:pPr>
              <w:rPr>
                <w:rFonts w:hint="eastAsia"/>
              </w:rPr>
            </w:pPr>
          </w:p>
        </w:tc>
        <w:tc>
          <w:tcPr>
            <w:tcW w:w="1075" w:type="dxa"/>
            <w:vAlign w:val="center"/>
          </w:tcPr>
          <w:p w14:paraId="0152D9AE">
            <w:pPr>
              <w:rPr>
                <w:rFonts w:hint="eastAsia"/>
              </w:rPr>
            </w:pPr>
            <w:r>
              <w:t>1005</w:t>
            </w:r>
          </w:p>
        </w:tc>
        <w:tc>
          <w:tcPr>
            <w:tcW w:w="1075" w:type="dxa"/>
            <w:vAlign w:val="center"/>
          </w:tcPr>
          <w:p w14:paraId="6275A1FB">
            <w:pPr>
              <w:rPr>
                <w:rFonts w:hint="eastAsia"/>
              </w:rPr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55D3F5BF">
            <w:pPr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F878457">
            <w:pPr>
              <w:rPr>
                <w:rFonts w:hint="eastAsia"/>
              </w:rPr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CECE348">
            <w:pPr>
              <w:rPr>
                <w:rFonts w:hint="eastAsia"/>
              </w:rPr>
            </w:pPr>
            <w:r>
              <w:t>32.66</w:t>
            </w:r>
          </w:p>
        </w:tc>
        <w:tc>
          <w:tcPr>
            <w:tcW w:w="1075" w:type="dxa"/>
            <w:vAlign w:val="center"/>
          </w:tcPr>
          <w:p w14:paraId="36D82DA7">
            <w:pPr>
              <w:rPr>
                <w:rFonts w:hint="eastAsia"/>
              </w:rPr>
            </w:pPr>
            <w:r>
              <w:t>15.9</w:t>
            </w:r>
          </w:p>
        </w:tc>
        <w:tc>
          <w:tcPr>
            <w:tcW w:w="1075" w:type="dxa"/>
            <w:vAlign w:val="center"/>
          </w:tcPr>
          <w:p w14:paraId="1E5C3A1C">
            <w:pPr>
              <w:rPr>
                <w:rFonts w:hint="eastAsia"/>
              </w:rPr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532E00DD">
            <w:pPr>
              <w:rPr>
                <w:rFonts w:hint="eastAsia"/>
              </w:rPr>
            </w:pPr>
            <w:r>
              <w:t>满足</w:t>
            </w:r>
          </w:p>
        </w:tc>
      </w:tr>
      <w:tr w14:paraId="02EA42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 w14:paraId="13706CC4">
            <w:pPr>
              <w:rPr>
                <w:rFonts w:hint="eastAsia"/>
              </w:rPr>
            </w:pPr>
          </w:p>
        </w:tc>
        <w:tc>
          <w:tcPr>
            <w:tcW w:w="1075" w:type="dxa"/>
            <w:vAlign w:val="center"/>
          </w:tcPr>
          <w:p w14:paraId="5B094AC8">
            <w:pPr>
              <w:rPr>
                <w:rFonts w:hint="eastAsia"/>
              </w:rPr>
            </w:pPr>
            <w:r>
              <w:t>1006</w:t>
            </w:r>
          </w:p>
        </w:tc>
        <w:tc>
          <w:tcPr>
            <w:tcW w:w="1075" w:type="dxa"/>
            <w:vAlign w:val="center"/>
          </w:tcPr>
          <w:p w14:paraId="0E86C19C">
            <w:pPr>
              <w:rPr>
                <w:rFonts w:hint="eastAsia"/>
              </w:rPr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62BE472D">
            <w:pPr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8BD6A75">
            <w:pPr>
              <w:rPr>
                <w:rFonts w:hint="eastAsia"/>
              </w:rPr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5A9CD90">
            <w:pPr>
              <w:rPr>
                <w:rFonts w:hint="eastAsia"/>
              </w:rPr>
            </w:pPr>
            <w:r>
              <w:t>32.66</w:t>
            </w:r>
          </w:p>
        </w:tc>
        <w:tc>
          <w:tcPr>
            <w:tcW w:w="1075" w:type="dxa"/>
            <w:vAlign w:val="center"/>
          </w:tcPr>
          <w:p w14:paraId="6E3FFCF4">
            <w:pPr>
              <w:rPr>
                <w:rFonts w:hint="eastAsia"/>
              </w:rPr>
            </w:pPr>
            <w:r>
              <w:t>15.9</w:t>
            </w:r>
          </w:p>
        </w:tc>
        <w:tc>
          <w:tcPr>
            <w:tcW w:w="1075" w:type="dxa"/>
            <w:vAlign w:val="center"/>
          </w:tcPr>
          <w:p w14:paraId="27D80F35">
            <w:pPr>
              <w:rPr>
                <w:rFonts w:hint="eastAsia"/>
              </w:rPr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26CC33C1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FFBF0CE">
      <w:pPr>
        <w:ind w:left="180" w:right="180"/>
        <w:rPr>
          <w:rFonts w:hint="eastAsia"/>
          <w:lang w:val="en-US"/>
        </w:rPr>
      </w:pPr>
      <w:bookmarkStart w:id="45" w:name="房间眩光表"/>
      <w:bookmarkEnd w:id="45"/>
    </w:p>
    <w:p w14:paraId="2F51F617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46" w:name="_Toc186050904"/>
      <w:r>
        <w:rPr>
          <w:rFonts w:hint="eastAsia" w:ascii="微软雅黑" w:hAnsi="微软雅黑"/>
        </w:rPr>
        <w:t>采光均匀度</w:t>
      </w:r>
      <w:bookmarkEnd w:id="46"/>
    </w:p>
    <w:p w14:paraId="765AA672">
      <w:pPr>
        <w:pStyle w:val="32"/>
        <w:ind w:firstLine="420" w:firstLineChars="200"/>
        <w:rPr>
          <w:rFonts w:hint="eastAsia"/>
          <w:lang w:val="en-US"/>
        </w:rPr>
      </w:pPr>
      <w:r>
        <w:rPr>
          <w:rFonts w:hint="eastAsia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5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076"/>
        <w:gridCol w:w="1247"/>
        <w:gridCol w:w="792"/>
        <w:gridCol w:w="848"/>
        <w:gridCol w:w="1075"/>
        <w:gridCol w:w="1075"/>
        <w:gridCol w:w="1075"/>
        <w:gridCol w:w="990"/>
      </w:tblGrid>
      <w:tr w14:paraId="6A104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E6E6E6"/>
            <w:vAlign w:val="center"/>
          </w:tcPr>
          <w:p w14:paraId="0EB0584E">
            <w:pPr>
              <w:rPr>
                <w:rFonts w:hint="eastAsia"/>
              </w:rPr>
            </w:pPr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38699A">
            <w:pPr>
              <w:rPr>
                <w:rFonts w:hint="eastAsia"/>
              </w:rPr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537F46F">
            <w:pPr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EA94F11">
            <w:pPr>
              <w:rPr>
                <w:rFonts w:hint="eastAsia"/>
              </w:rPr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4B2C0C">
            <w:pPr>
              <w:rPr>
                <w:rFonts w:hint="eastAsia"/>
              </w:rPr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E59F5A">
            <w:pPr>
              <w:rPr>
                <w:rFonts w:hint="eastAsia"/>
              </w:rPr>
            </w:pPr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1F151C">
            <w:pPr>
              <w:rPr>
                <w:rFonts w:hint="eastAsia"/>
              </w:rPr>
            </w:pPr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79D612">
            <w:pPr>
              <w:rPr>
                <w:rFonts w:hint="eastAsia"/>
              </w:rPr>
            </w:pPr>
            <w:r>
              <w:t>采光</w:t>
            </w:r>
            <w:r>
              <w:br w:type="textWrapping"/>
            </w:r>
            <w:r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1656E3">
            <w:pPr>
              <w:rPr>
                <w:rFonts w:hint="eastAsia"/>
              </w:rPr>
            </w:pPr>
            <w:r>
              <w:t>结论</w:t>
            </w:r>
          </w:p>
        </w:tc>
      </w:tr>
      <w:tr w14:paraId="41700E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restart"/>
            <w:vAlign w:val="center"/>
          </w:tcPr>
          <w:p w14:paraId="0D8CA3DA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776A93A">
            <w:pPr>
              <w:rPr>
                <w:rFonts w:hint="eastAsia"/>
              </w:rPr>
            </w:pPr>
            <w:r>
              <w:t>1005</w:t>
            </w:r>
          </w:p>
        </w:tc>
        <w:tc>
          <w:tcPr>
            <w:tcW w:w="1245" w:type="dxa"/>
            <w:vAlign w:val="center"/>
          </w:tcPr>
          <w:p w14:paraId="4E46F767">
            <w:pPr>
              <w:rPr>
                <w:rFonts w:hint="eastAsia"/>
              </w:rPr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138E0263">
            <w:pPr>
              <w:rPr>
                <w:rFonts w:hint="eastAsia"/>
              </w:rPr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9FE4CE2">
            <w:pPr>
              <w:rPr>
                <w:rFonts w:hint="eastAsia"/>
              </w:rPr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BD8476E">
            <w:pPr>
              <w:rPr>
                <w:rFonts w:hint="eastAsia"/>
              </w:rPr>
            </w:pPr>
            <w:r>
              <w:t>16.38</w:t>
            </w:r>
          </w:p>
        </w:tc>
        <w:tc>
          <w:tcPr>
            <w:tcW w:w="1075" w:type="dxa"/>
            <w:vAlign w:val="center"/>
          </w:tcPr>
          <w:p w14:paraId="73390BD1">
            <w:pPr>
              <w:rPr>
                <w:rFonts w:hint="eastAsia"/>
              </w:rPr>
            </w:pPr>
            <w:r>
              <w:t>4.11</w:t>
            </w:r>
          </w:p>
        </w:tc>
        <w:tc>
          <w:tcPr>
            <w:tcW w:w="1075" w:type="dxa"/>
            <w:vAlign w:val="center"/>
          </w:tcPr>
          <w:p w14:paraId="6E874E5A">
            <w:pPr>
              <w:rPr>
                <w:rFonts w:hint="eastAsia"/>
              </w:rPr>
            </w:pPr>
            <w:r>
              <w:t>3.99</w:t>
            </w:r>
          </w:p>
        </w:tc>
        <w:tc>
          <w:tcPr>
            <w:tcW w:w="990" w:type="dxa"/>
            <w:vAlign w:val="center"/>
          </w:tcPr>
          <w:p w14:paraId="57D5D598">
            <w:pPr>
              <w:rPr>
                <w:rFonts w:hint="eastAsia"/>
              </w:rPr>
            </w:pPr>
            <w:r>
              <w:t>满足</w:t>
            </w:r>
          </w:p>
        </w:tc>
      </w:tr>
      <w:tr w14:paraId="4B0AF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 w14:paraId="02EEB566">
            <w:pPr>
              <w:rPr>
                <w:rFonts w:hint="eastAsia"/>
              </w:rPr>
            </w:pPr>
          </w:p>
        </w:tc>
        <w:tc>
          <w:tcPr>
            <w:tcW w:w="1075" w:type="dxa"/>
            <w:vAlign w:val="center"/>
          </w:tcPr>
          <w:p w14:paraId="1AB1BB49">
            <w:pPr>
              <w:rPr>
                <w:rFonts w:hint="eastAsia"/>
              </w:rPr>
            </w:pPr>
            <w:r>
              <w:t>1006</w:t>
            </w:r>
          </w:p>
        </w:tc>
        <w:tc>
          <w:tcPr>
            <w:tcW w:w="1245" w:type="dxa"/>
            <w:vAlign w:val="center"/>
          </w:tcPr>
          <w:p w14:paraId="2F6A9FF6">
            <w:pPr>
              <w:rPr>
                <w:rFonts w:hint="eastAsia"/>
              </w:rPr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288772F1">
            <w:pPr>
              <w:rPr>
                <w:rFonts w:hint="eastAsia"/>
              </w:rPr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F514178">
            <w:pPr>
              <w:rPr>
                <w:rFonts w:hint="eastAsia"/>
              </w:rPr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B498218">
            <w:pPr>
              <w:rPr>
                <w:rFonts w:hint="eastAsia"/>
              </w:rPr>
            </w:pPr>
            <w:r>
              <w:t>16.51</w:t>
            </w:r>
          </w:p>
        </w:tc>
        <w:tc>
          <w:tcPr>
            <w:tcW w:w="1075" w:type="dxa"/>
            <w:vAlign w:val="center"/>
          </w:tcPr>
          <w:p w14:paraId="6E10A2F7">
            <w:pPr>
              <w:rPr>
                <w:rFonts w:hint="eastAsia"/>
              </w:rPr>
            </w:pPr>
            <w:r>
              <w:t>4.17</w:t>
            </w:r>
          </w:p>
        </w:tc>
        <w:tc>
          <w:tcPr>
            <w:tcW w:w="1075" w:type="dxa"/>
            <w:vAlign w:val="center"/>
          </w:tcPr>
          <w:p w14:paraId="0F48CC2E">
            <w:pPr>
              <w:rPr>
                <w:rFonts w:hint="eastAsia"/>
              </w:rPr>
            </w:pPr>
            <w:r>
              <w:t>3.96</w:t>
            </w:r>
          </w:p>
        </w:tc>
        <w:tc>
          <w:tcPr>
            <w:tcW w:w="990" w:type="dxa"/>
            <w:vAlign w:val="center"/>
          </w:tcPr>
          <w:p w14:paraId="76CDAA4B">
            <w:pPr>
              <w:rPr>
                <w:rFonts w:hint="eastAsia"/>
              </w:rPr>
            </w:pPr>
            <w:r>
              <w:t>满足</w:t>
            </w:r>
          </w:p>
        </w:tc>
      </w:tr>
      <w:tr w14:paraId="3CC576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 w14:paraId="7EDFDD24">
            <w:pPr>
              <w:rPr>
                <w:rFonts w:hint="eastAsia"/>
              </w:rPr>
            </w:pPr>
          </w:p>
        </w:tc>
        <w:tc>
          <w:tcPr>
            <w:tcW w:w="1075" w:type="dxa"/>
            <w:vAlign w:val="center"/>
          </w:tcPr>
          <w:p w14:paraId="6D33A583">
            <w:pPr>
              <w:rPr>
                <w:rFonts w:hint="eastAsia"/>
              </w:rPr>
            </w:pPr>
            <w:r>
              <w:t>1007</w:t>
            </w:r>
          </w:p>
        </w:tc>
        <w:tc>
          <w:tcPr>
            <w:tcW w:w="1245" w:type="dxa"/>
            <w:vAlign w:val="center"/>
          </w:tcPr>
          <w:p w14:paraId="7161811B">
            <w:pPr>
              <w:rPr>
                <w:rFonts w:hint="eastAsia"/>
              </w:rPr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44A2E604">
            <w:pPr>
              <w:rPr>
                <w:rFonts w:hint="eastAsia"/>
              </w:rPr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85EEF03">
            <w:pPr>
              <w:rPr>
                <w:rFonts w:hint="eastAsia"/>
              </w:rPr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2D040B7A">
            <w:pPr>
              <w:rPr>
                <w:rFonts w:hint="eastAsia"/>
              </w:rPr>
            </w:pPr>
            <w:r>
              <w:t>15.06</w:t>
            </w:r>
          </w:p>
        </w:tc>
        <w:tc>
          <w:tcPr>
            <w:tcW w:w="1075" w:type="dxa"/>
            <w:vAlign w:val="center"/>
          </w:tcPr>
          <w:p w14:paraId="0F390271">
            <w:pPr>
              <w:rPr>
                <w:rFonts w:hint="eastAsia"/>
              </w:rPr>
            </w:pPr>
            <w:r>
              <w:t>3.83</w:t>
            </w:r>
          </w:p>
        </w:tc>
        <w:tc>
          <w:tcPr>
            <w:tcW w:w="1075" w:type="dxa"/>
            <w:vAlign w:val="center"/>
          </w:tcPr>
          <w:p w14:paraId="191F6898">
            <w:pPr>
              <w:rPr>
                <w:rFonts w:hint="eastAsia"/>
              </w:rPr>
            </w:pPr>
            <w:r>
              <w:t>3.94</w:t>
            </w:r>
          </w:p>
        </w:tc>
        <w:tc>
          <w:tcPr>
            <w:tcW w:w="990" w:type="dxa"/>
            <w:vAlign w:val="center"/>
          </w:tcPr>
          <w:p w14:paraId="64FC43E4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7E56F2E1">
      <w:pPr>
        <w:ind w:left="180" w:right="180"/>
        <w:rPr>
          <w:rFonts w:hint="eastAsia"/>
          <w:lang w:val="en-US"/>
        </w:rPr>
      </w:pPr>
      <w:bookmarkStart w:id="47" w:name="光均匀度表"/>
      <w:bookmarkEnd w:id="47"/>
    </w:p>
    <w:p w14:paraId="68B09C52">
      <w:pPr>
        <w:pStyle w:val="2"/>
        <w:rPr>
          <w:rFonts w:hint="eastAsia" w:ascii="微软雅黑" w:hAnsi="微软雅黑"/>
        </w:rPr>
      </w:pPr>
      <w:bookmarkStart w:id="48" w:name="_Toc186050905"/>
      <w:r>
        <w:rPr>
          <w:rFonts w:hint="eastAsia" w:ascii="微软雅黑" w:hAnsi="微软雅黑"/>
        </w:rPr>
        <w:t>评价结论</w:t>
      </w:r>
      <w:bookmarkEnd w:id="48"/>
    </w:p>
    <w:p w14:paraId="5A69D5EC">
      <w:pPr>
        <w:pStyle w:val="32"/>
        <w:ind w:firstLine="420" w:firstLineChars="200"/>
        <w:rPr>
          <w:rFonts w:hint="eastAsia"/>
        </w:rPr>
      </w:pPr>
      <w:r>
        <w:t>通过计算分析，依据《建筑采光设计标准》GB 50033-2013对本项目的</w:t>
      </w:r>
      <w:r>
        <w:rPr>
          <w:u w:val="single"/>
        </w:rPr>
        <w:t xml:space="preserve"> </w:t>
      </w:r>
      <w:bookmarkStart w:id="49" w:name="眩光评价房间数"/>
      <w:r>
        <w:rPr>
          <w:u w:val="single"/>
        </w:rPr>
        <w:t>3</w:t>
      </w:r>
      <w:bookmarkEnd w:id="49"/>
      <w:r>
        <w:rPr>
          <w:u w:val="single"/>
        </w:rPr>
        <w:t xml:space="preserve"> </w:t>
      </w:r>
      <w:r>
        <w:t>个主要功能房间进行眩光分析计算，其中</w:t>
      </w:r>
      <w:r>
        <w:rPr>
          <w:u w:val="single"/>
        </w:rPr>
        <w:t xml:space="preserve"> </w:t>
      </w:r>
      <w:bookmarkStart w:id="50" w:name="眩光不达标房间数"/>
      <w:r>
        <w:rPr>
          <w:u w:val="single"/>
        </w:rPr>
        <w:t>0</w:t>
      </w:r>
      <w:bookmarkEnd w:id="50"/>
      <w:r>
        <w:rPr>
          <w:u w:val="single"/>
        </w:rPr>
        <w:t xml:space="preserve"> </w:t>
      </w:r>
      <w:r>
        <w:t>个房间不满足标准限值要求，其中</w:t>
      </w:r>
      <w:r>
        <w:rPr>
          <w:u w:val="single"/>
        </w:rPr>
        <w:t xml:space="preserve"> </w:t>
      </w:r>
      <w:bookmarkStart w:id="51" w:name="光均匀度不达标房间数"/>
      <w:r>
        <w:rPr>
          <w:u w:val="single"/>
        </w:rPr>
        <w:t>0</w:t>
      </w:r>
      <w:bookmarkEnd w:id="51"/>
      <w:r>
        <w:rPr>
          <w:u w:val="single"/>
        </w:rPr>
        <w:t xml:space="preserve"> </w:t>
      </w:r>
      <w:r>
        <w:t>个房间不满足</w:t>
      </w:r>
      <w:r>
        <w:rPr>
          <w:rFonts w:hint="eastAsia"/>
        </w:rPr>
        <w:t>采光均匀度要求</w:t>
      </w:r>
      <w:r>
        <w:t>。</w:t>
      </w:r>
    </w:p>
    <w:p w14:paraId="29409A4C">
      <w:pPr>
        <w:pStyle w:val="32"/>
        <w:ind w:firstLine="420" w:firstLineChars="200"/>
        <w:rPr>
          <w:rFonts w:hint="eastAsia"/>
        </w:rPr>
      </w:pPr>
      <w:r>
        <w:t>根据</w:t>
      </w:r>
      <w:r>
        <w:rPr>
          <w:rFonts w:hint="eastAsia"/>
        </w:rPr>
        <w:t>《</w:t>
      </w:r>
      <w:r>
        <w:t>绿色建筑评价标准</w:t>
      </w:r>
      <w:r>
        <w:rPr>
          <w:rFonts w:hint="eastAsia"/>
        </w:rPr>
        <w:t>》 GB</w:t>
      </w:r>
      <w:r>
        <w:t>/T 50378-2019的5.2.8条款要求，本项目合理控制眩光项得分为</w:t>
      </w:r>
      <w:r>
        <w:rPr>
          <w:u w:val="single"/>
        </w:rPr>
        <w:t xml:space="preserve"> </w:t>
      </w:r>
      <w:bookmarkStart w:id="52" w:name="眩光评价得分"/>
      <w:r>
        <w:rPr>
          <w:u w:val="single"/>
        </w:rPr>
        <w:t>3</w:t>
      </w:r>
      <w:bookmarkEnd w:id="52"/>
      <w:r>
        <w:rPr>
          <w:u w:val="single"/>
        </w:rPr>
        <w:t xml:space="preserve"> </w:t>
      </w:r>
      <w:r>
        <w:t>分。</w:t>
      </w:r>
    </w:p>
    <w:p w14:paraId="56ED479A">
      <w:pPr>
        <w:pStyle w:val="3"/>
        <w:spacing w:line="240" w:lineRule="auto"/>
        <w:ind w:firstLine="0" w:firstLineChars="0"/>
        <w:rPr>
          <w:rFonts w:hint="eastAsia" w:ascii="微软雅黑" w:hAnsi="微软雅黑" w:eastAsia="微软雅黑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73162C8">
      <w:pPr>
        <w:pStyle w:val="2"/>
        <w:rPr>
          <w:rFonts w:hint="eastAsia" w:ascii="微软雅黑" w:hAnsi="微软雅黑"/>
        </w:rPr>
      </w:pPr>
      <w:bookmarkStart w:id="53" w:name="_Toc186050906"/>
      <w:r>
        <w:rPr>
          <w:rFonts w:hint="eastAsia" w:ascii="微软雅黑" w:hAnsi="微软雅黑"/>
        </w:rPr>
        <w:t>附：</w:t>
      </w:r>
      <w:r>
        <w:rPr>
          <w:rFonts w:ascii="微软雅黑" w:hAnsi="微软雅黑"/>
        </w:rPr>
        <w:t>项目总平面图</w:t>
      </w:r>
      <w:bookmarkEnd w:id="53"/>
    </w:p>
    <w:p w14:paraId="0CA74323">
      <w:pPr>
        <w:pStyle w:val="3"/>
        <w:spacing w:line="240" w:lineRule="auto"/>
        <w:ind w:firstLine="0" w:firstLineChars="0"/>
        <w:jc w:val="center"/>
        <w:rPr>
          <w:rFonts w:hint="eastAsia" w:ascii="微软雅黑" w:hAnsi="微软雅黑" w:eastAsia="微软雅黑"/>
          <w:sz w:val="28"/>
          <w:szCs w:val="28"/>
          <w:lang w:val="en-US"/>
        </w:rPr>
      </w:pPr>
      <w:bookmarkStart w:id="54" w:name="总平面图"/>
      <w:bookmarkEnd w:id="54"/>
      <w:r>
        <w:drawing>
          <wp:inline distT="0" distB="0" distL="0" distR="0">
            <wp:extent cx="5667375" cy="41148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75D33">
      <w:pPr>
        <w:pStyle w:val="3"/>
        <w:spacing w:line="240" w:lineRule="auto"/>
        <w:ind w:firstLine="0" w:firstLineChars="0"/>
        <w:jc w:val="center"/>
        <w:rPr>
          <w:rFonts w:hint="eastAsia" w:ascii="微软雅黑" w:hAnsi="微软雅黑" w:eastAsia="微软雅黑"/>
          <w:sz w:val="28"/>
          <w:szCs w:val="28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E1C40">
    <w:pPr>
      <w:pStyle w:val="15"/>
      <w:tabs>
        <w:tab w:val="center" w:pos="4535"/>
        <w:tab w:val="right" w:pos="9070"/>
        <w:tab w:val="clear" w:pos="4153"/>
        <w:tab w:val="clear" w:pos="8306"/>
      </w:tabs>
      <w:ind w:left="180" w:right="180" w:firstLine="420"/>
      <w:rPr>
        <w:rFonts w:hint="eastAsia"/>
      </w:rPr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8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ACDB0">
    <w:pPr>
      <w:pStyle w:val="15"/>
      <w:ind w:left="180" w:right="18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D1D44">
    <w:pPr>
      <w:pStyle w:val="15"/>
      <w:ind w:left="180" w:right="18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1BD2D">
    <w:pPr>
      <w:pStyle w:val="16"/>
      <w:pBdr>
        <w:bottom w:val="single" w:color="auto" w:sz="6" w:space="2"/>
      </w:pBdr>
      <w:ind w:left="99" w:leftChars="47" w:right="210" w:rightChars="100"/>
      <w:jc w:val="both"/>
      <w:rPr>
        <w:rFonts w:hint="eastAsia"/>
        <w:sz w:val="20"/>
      </w:rPr>
    </w:pPr>
    <w:r>
      <w:rPr>
        <w:lang w:val="en-US"/>
      </w:rPr>
      <w:drawing>
        <wp:inline distT="0" distB="0" distL="0" distR="0">
          <wp:extent cx="981710" cy="262255"/>
          <wp:effectExtent l="0" t="0" r="0" b="0"/>
          <wp:docPr id="1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71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</w:t>
    </w:r>
    <w:r>
      <w:t xml:space="preserve">                                            </w:t>
    </w:r>
    <w:r>
      <w:rPr>
        <w:rFonts w:hint="eastAsia"/>
        <w:sz w:val="20"/>
      </w:rPr>
      <w:t>不舒适眩光</w:t>
    </w:r>
    <w:r>
      <w:rPr>
        <w:sz w:val="20"/>
      </w:rPr>
      <w:t>分析报告书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6717C">
    <w:pPr>
      <w:pStyle w:val="16"/>
      <w:ind w:left="180" w:right="18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34"/>
    <w:rsid w:val="00022F54"/>
    <w:rsid w:val="00022FE4"/>
    <w:rsid w:val="0003015C"/>
    <w:rsid w:val="00037A4C"/>
    <w:rsid w:val="000431C3"/>
    <w:rsid w:val="00045796"/>
    <w:rsid w:val="00047BEF"/>
    <w:rsid w:val="00047D27"/>
    <w:rsid w:val="00054334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59D4"/>
    <w:rsid w:val="000E3005"/>
    <w:rsid w:val="000E74AB"/>
    <w:rsid w:val="000F1573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5FA8"/>
    <w:rsid w:val="001463F5"/>
    <w:rsid w:val="0014776A"/>
    <w:rsid w:val="00150077"/>
    <w:rsid w:val="001511F2"/>
    <w:rsid w:val="00152AD1"/>
    <w:rsid w:val="001549CD"/>
    <w:rsid w:val="00165728"/>
    <w:rsid w:val="00170E95"/>
    <w:rsid w:val="0017134B"/>
    <w:rsid w:val="00180509"/>
    <w:rsid w:val="00180537"/>
    <w:rsid w:val="001811B7"/>
    <w:rsid w:val="00191705"/>
    <w:rsid w:val="0019511C"/>
    <w:rsid w:val="00195963"/>
    <w:rsid w:val="00196F57"/>
    <w:rsid w:val="001A213A"/>
    <w:rsid w:val="001A3A15"/>
    <w:rsid w:val="001B14CC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2062D"/>
    <w:rsid w:val="002229C1"/>
    <w:rsid w:val="00224948"/>
    <w:rsid w:val="00241D4E"/>
    <w:rsid w:val="00244792"/>
    <w:rsid w:val="0025362B"/>
    <w:rsid w:val="002555B8"/>
    <w:rsid w:val="00261764"/>
    <w:rsid w:val="0027073D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C17A2"/>
    <w:rsid w:val="002C62E3"/>
    <w:rsid w:val="002D2BBC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B71D3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98B"/>
    <w:rsid w:val="00406B01"/>
    <w:rsid w:val="00413082"/>
    <w:rsid w:val="004140D8"/>
    <w:rsid w:val="00420487"/>
    <w:rsid w:val="00420DBF"/>
    <w:rsid w:val="00423774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81C5E"/>
    <w:rsid w:val="0069112E"/>
    <w:rsid w:val="00691729"/>
    <w:rsid w:val="00694FCA"/>
    <w:rsid w:val="00696156"/>
    <w:rsid w:val="006A7804"/>
    <w:rsid w:val="006B628D"/>
    <w:rsid w:val="006C000D"/>
    <w:rsid w:val="006C2054"/>
    <w:rsid w:val="006C31C0"/>
    <w:rsid w:val="006D1684"/>
    <w:rsid w:val="006E2DB9"/>
    <w:rsid w:val="006F1E82"/>
    <w:rsid w:val="006F480A"/>
    <w:rsid w:val="006F6958"/>
    <w:rsid w:val="0070016E"/>
    <w:rsid w:val="00700961"/>
    <w:rsid w:val="00704059"/>
    <w:rsid w:val="00720044"/>
    <w:rsid w:val="00720CD9"/>
    <w:rsid w:val="00722CF6"/>
    <w:rsid w:val="007250A6"/>
    <w:rsid w:val="00725EDE"/>
    <w:rsid w:val="0073394A"/>
    <w:rsid w:val="00741564"/>
    <w:rsid w:val="0074389B"/>
    <w:rsid w:val="00755503"/>
    <w:rsid w:val="007555E5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60C3"/>
    <w:rsid w:val="00806523"/>
    <w:rsid w:val="0080779D"/>
    <w:rsid w:val="00810B33"/>
    <w:rsid w:val="008138E5"/>
    <w:rsid w:val="00815480"/>
    <w:rsid w:val="00817D75"/>
    <w:rsid w:val="0083639A"/>
    <w:rsid w:val="00837670"/>
    <w:rsid w:val="00840D90"/>
    <w:rsid w:val="008439F8"/>
    <w:rsid w:val="008471C2"/>
    <w:rsid w:val="00850136"/>
    <w:rsid w:val="008704AB"/>
    <w:rsid w:val="00871FC0"/>
    <w:rsid w:val="0087441B"/>
    <w:rsid w:val="00883D6C"/>
    <w:rsid w:val="00892594"/>
    <w:rsid w:val="008A1241"/>
    <w:rsid w:val="008A54A0"/>
    <w:rsid w:val="008A6504"/>
    <w:rsid w:val="008B0CA0"/>
    <w:rsid w:val="008C1297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5123C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6B81"/>
    <w:rsid w:val="009E6EA9"/>
    <w:rsid w:val="009F5016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47E44"/>
    <w:rsid w:val="00B55B22"/>
    <w:rsid w:val="00B60841"/>
    <w:rsid w:val="00B70998"/>
    <w:rsid w:val="00B71138"/>
    <w:rsid w:val="00B774E4"/>
    <w:rsid w:val="00B86B1C"/>
    <w:rsid w:val="00B950DF"/>
    <w:rsid w:val="00BA0863"/>
    <w:rsid w:val="00BA4C10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5975"/>
    <w:rsid w:val="00C02ABE"/>
    <w:rsid w:val="00C127CA"/>
    <w:rsid w:val="00C15DF5"/>
    <w:rsid w:val="00C257AB"/>
    <w:rsid w:val="00C3168B"/>
    <w:rsid w:val="00C31D17"/>
    <w:rsid w:val="00C33D67"/>
    <w:rsid w:val="00C369F5"/>
    <w:rsid w:val="00C37F41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CFF"/>
    <w:rsid w:val="00C751F9"/>
    <w:rsid w:val="00C8032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6248"/>
    <w:rsid w:val="00CC196B"/>
    <w:rsid w:val="00CC6133"/>
    <w:rsid w:val="00CC74BC"/>
    <w:rsid w:val="00CD01C9"/>
    <w:rsid w:val="00CD4869"/>
    <w:rsid w:val="00CE1377"/>
    <w:rsid w:val="00CE28AA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6040B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A28E0"/>
    <w:rsid w:val="00DA543D"/>
    <w:rsid w:val="00DB1F7E"/>
    <w:rsid w:val="00DB29C3"/>
    <w:rsid w:val="00DC08B7"/>
    <w:rsid w:val="00DC73AD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D67"/>
    <w:rsid w:val="00E01D75"/>
    <w:rsid w:val="00E04BB6"/>
    <w:rsid w:val="00E12326"/>
    <w:rsid w:val="00E125AE"/>
    <w:rsid w:val="00E12AD1"/>
    <w:rsid w:val="00E17240"/>
    <w:rsid w:val="00E17F17"/>
    <w:rsid w:val="00E200C4"/>
    <w:rsid w:val="00E22381"/>
    <w:rsid w:val="00E23D22"/>
    <w:rsid w:val="00E278C1"/>
    <w:rsid w:val="00E341D6"/>
    <w:rsid w:val="00E34789"/>
    <w:rsid w:val="00E3796F"/>
    <w:rsid w:val="00E50FE4"/>
    <w:rsid w:val="00E55FF6"/>
    <w:rsid w:val="00E612BA"/>
    <w:rsid w:val="00E67432"/>
    <w:rsid w:val="00E75360"/>
    <w:rsid w:val="00E81ACD"/>
    <w:rsid w:val="00E93153"/>
    <w:rsid w:val="00E950A3"/>
    <w:rsid w:val="00EA30AE"/>
    <w:rsid w:val="00EA346F"/>
    <w:rsid w:val="00EA3CC2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1307"/>
    <w:rsid w:val="00EF469A"/>
    <w:rsid w:val="00EF4F61"/>
    <w:rsid w:val="00EF5D54"/>
    <w:rsid w:val="00F03F19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  <w:rsid w:val="2F4E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jc w:val="center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Times New Roman" w:hAnsi="Times New Roman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qFormat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qFormat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jc w:val="left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qFormat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qFormat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image" Target="media/image7.png"/><Relationship Id="rId17" Type="http://schemas.openxmlformats.org/officeDocument/2006/relationships/image" Target="media/image6.wmf"/><Relationship Id="rId16" Type="http://schemas.openxmlformats.org/officeDocument/2006/relationships/oleObject" Target="embeddings/oleObject4.bin"/><Relationship Id="rId15" Type="http://schemas.openxmlformats.org/officeDocument/2006/relationships/image" Target="media/image5.wmf"/><Relationship Id="rId14" Type="http://schemas.openxmlformats.org/officeDocument/2006/relationships/oleObject" Target="embeddings/oleObject3.bin"/><Relationship Id="rId13" Type="http://schemas.openxmlformats.org/officeDocument/2006/relationships/image" Target="media/image4.wmf"/><Relationship Id="rId12" Type="http://schemas.openxmlformats.org/officeDocument/2006/relationships/oleObject" Target="embeddings/oleObject2.bin"/><Relationship Id="rId11" Type="http://schemas.openxmlformats.org/officeDocument/2006/relationships/image" Target="media/image3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FE04F-6BC5-4A46-A8FC-862AD46F5B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Company>gbsware</Company>
  <Pages>10</Pages>
  <Words>2508</Words>
  <Characters>3258</Characters>
  <Lines>36</Lines>
  <Paragraphs>10</Paragraphs>
  <TotalTime>0</TotalTime>
  <ScaleCrop>false</ScaleCrop>
  <LinksUpToDate>false</LinksUpToDate>
  <CharactersWithSpaces>3400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2024-12-25T12:27:00Z</dcterms:created>
  <dc:creator>Dell</dc:creator>
  <cp:lastModifiedBy>李云龙</cp:lastModifiedBy>
  <cp:lastPrinted>2411-12-31T16:00:00Z</cp:lastPrinted>
  <dcterms:modified xsi:type="dcterms:W3CDTF">2024-12-29T06:46:01Z</dcterms:modified>
  <dc:title>眩光分析报告书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eyJoZGlkIjoiNzdiOWJjZjNlZDU5Mzc2YTQyYjdhZWU3MGFjNTEwNWEiLCJ1c2VySWQiOiIxNjI1MjI0MDcwIn0=</vt:lpwstr>
  </property>
  <property fmtid="{D5CDD505-2E9C-101B-9397-08002B2CF9AE}" pid="3" name="KSOProductBuildVer">
    <vt:lpwstr>2052-12.1.0.19302</vt:lpwstr>
  </property>
  <property fmtid="{D5CDD505-2E9C-101B-9397-08002B2CF9AE}" pid="4" name="ICV">
    <vt:lpwstr>492AEADABF434175914B9F2B3731B035_12</vt:lpwstr>
  </property>
</Properties>
</file>