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E3999">
      <w:pPr>
        <w:spacing w:line="180" w:lineRule="atLeast"/>
        <w:rPr>
          <w:rFonts w:ascii="宋体" w:hAnsi="宋体"/>
          <w:b/>
          <w:bCs/>
          <w:sz w:val="32"/>
          <w:szCs w:val="32"/>
        </w:rPr>
      </w:pPr>
      <w:bookmarkStart w:id="179" w:name="_GoBack"/>
      <w:bookmarkEnd w:id="179"/>
    </w:p>
    <w:p w14:paraId="5B88329F">
      <w:pPr>
        <w:widowControl w:val="0"/>
        <w:spacing w:after="312" w:afterLines="100" w:line="240" w:lineRule="auto"/>
        <w:rPr>
          <w:rFonts w:ascii="宋体" w:hAnsi="宋体"/>
          <w:b/>
          <w:bCs/>
          <w:kern w:val="2"/>
          <w:sz w:val="30"/>
          <w:szCs w:val="24"/>
          <w:lang w:val="en-US"/>
        </w:rPr>
      </w:pPr>
    </w:p>
    <w:p w14:paraId="5E4EC219">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14:paraId="77C8243A">
      <w:pPr>
        <w:spacing w:before="312" w:beforeLines="100" w:line="180" w:lineRule="atLeast"/>
        <w:jc w:val="center"/>
        <w:rPr>
          <w:rFonts w:ascii="宋体" w:hAnsi="宋体"/>
          <w:bCs/>
          <w:sz w:val="44"/>
          <w:szCs w:val="44"/>
          <w:lang w:val="en-US"/>
        </w:rPr>
      </w:pPr>
    </w:p>
    <w:p w14:paraId="5D2C6022">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3DE5F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8FD272B">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4AD7DE6B">
            <w:pPr>
              <w:pStyle w:val="17"/>
              <w:tabs>
                <w:tab w:val="clear" w:pos="4153"/>
                <w:tab w:val="clear" w:pos="8306"/>
              </w:tabs>
              <w:snapToGrid/>
              <w:jc w:val="both"/>
              <w:rPr>
                <w:rFonts w:ascii="宋体" w:hAnsi="宋体"/>
                <w:szCs w:val="21"/>
              </w:rPr>
            </w:pPr>
            <w:bookmarkStart w:id="1" w:name="项目名称"/>
            <w:r>
              <w:rPr>
                <w:rFonts w:hint="eastAsia" w:ascii="宋体" w:hAnsi="宋体"/>
                <w:szCs w:val="21"/>
              </w:rPr>
              <w:t>绿箭</w:t>
            </w:r>
          </w:p>
        </w:tc>
      </w:tr>
      <w:tr w14:paraId="5AF00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7A63165">
            <w:pPr>
              <w:jc w:val="both"/>
              <w:rPr>
                <w:rFonts w:ascii="宋体" w:hAnsi="宋体"/>
                <w:szCs w:val="21"/>
              </w:rPr>
            </w:pPr>
            <w:r>
              <w:rPr>
                <w:rFonts w:hint="eastAsia" w:ascii="宋体" w:hAnsi="宋体"/>
                <w:szCs w:val="21"/>
              </w:rPr>
              <w:t>工程地点</w:t>
            </w:r>
          </w:p>
        </w:tc>
        <w:tc>
          <w:tcPr>
            <w:tcW w:w="3780" w:type="dxa"/>
          </w:tcPr>
          <w:p w14:paraId="1A05244A">
            <w:pPr>
              <w:jc w:val="both"/>
              <w:rPr>
                <w:rFonts w:ascii="宋体" w:hAnsi="宋体"/>
                <w:szCs w:val="21"/>
              </w:rPr>
            </w:pPr>
            <w:bookmarkStart w:id="2" w:name="项目地点"/>
            <w:r>
              <w:t>北京</w:t>
            </w:r>
          </w:p>
        </w:tc>
      </w:tr>
      <w:tr w14:paraId="42212E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F3B262">
            <w:pPr>
              <w:jc w:val="both"/>
              <w:rPr>
                <w:rFonts w:ascii="宋体" w:hAnsi="宋体"/>
                <w:szCs w:val="21"/>
              </w:rPr>
            </w:pPr>
            <w:r>
              <w:rPr>
                <w:rFonts w:hint="eastAsia" w:ascii="宋体" w:hAnsi="宋体"/>
                <w:szCs w:val="21"/>
              </w:rPr>
              <w:t>设计编号</w:t>
            </w:r>
          </w:p>
        </w:tc>
        <w:tc>
          <w:tcPr>
            <w:tcW w:w="3780" w:type="dxa"/>
          </w:tcPr>
          <w:p w14:paraId="03332C77">
            <w:pPr>
              <w:jc w:val="both"/>
              <w:rPr>
                <w:rFonts w:ascii="宋体" w:hAnsi="宋体"/>
                <w:szCs w:val="21"/>
              </w:rPr>
            </w:pPr>
            <w:bookmarkStart w:id="3" w:name="设计编号"/>
          </w:p>
        </w:tc>
      </w:tr>
      <w:tr w14:paraId="56FFB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8B487DA">
            <w:pPr>
              <w:jc w:val="both"/>
              <w:rPr>
                <w:rFonts w:ascii="宋体" w:hAnsi="宋体"/>
                <w:szCs w:val="21"/>
              </w:rPr>
            </w:pPr>
            <w:r>
              <w:rPr>
                <w:rFonts w:hint="eastAsia" w:ascii="宋体" w:hAnsi="宋体"/>
                <w:szCs w:val="21"/>
              </w:rPr>
              <w:t>建设单位</w:t>
            </w:r>
          </w:p>
        </w:tc>
        <w:tc>
          <w:tcPr>
            <w:tcW w:w="3780" w:type="dxa"/>
          </w:tcPr>
          <w:p w14:paraId="04F7DE8F">
            <w:pPr>
              <w:rPr>
                <w:rFonts w:ascii="宋体" w:hAnsi="宋体"/>
                <w:szCs w:val="21"/>
              </w:rPr>
            </w:pPr>
            <w:bookmarkStart w:id="4" w:name="建设单位"/>
          </w:p>
        </w:tc>
      </w:tr>
      <w:tr w14:paraId="5DC68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9606871">
            <w:pPr>
              <w:jc w:val="both"/>
              <w:rPr>
                <w:rFonts w:ascii="宋体" w:hAnsi="宋体"/>
                <w:szCs w:val="21"/>
              </w:rPr>
            </w:pPr>
            <w:r>
              <w:rPr>
                <w:rFonts w:hint="eastAsia" w:ascii="宋体" w:hAnsi="宋体"/>
                <w:szCs w:val="21"/>
              </w:rPr>
              <w:t>设计单位</w:t>
            </w:r>
          </w:p>
        </w:tc>
        <w:tc>
          <w:tcPr>
            <w:tcW w:w="3780" w:type="dxa"/>
          </w:tcPr>
          <w:p w14:paraId="2124B616">
            <w:pPr>
              <w:rPr>
                <w:rFonts w:ascii="宋体" w:hAnsi="宋体"/>
                <w:szCs w:val="21"/>
              </w:rPr>
            </w:pPr>
            <w:bookmarkStart w:id="5" w:name="设计单位"/>
          </w:p>
        </w:tc>
      </w:tr>
      <w:tr w14:paraId="6C62C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357FD21">
            <w:pPr>
              <w:jc w:val="both"/>
              <w:rPr>
                <w:rFonts w:ascii="宋体" w:hAnsi="宋体"/>
                <w:szCs w:val="21"/>
              </w:rPr>
            </w:pPr>
            <w:r>
              <w:rPr>
                <w:rFonts w:hint="eastAsia" w:ascii="宋体" w:hAnsi="宋体"/>
                <w:szCs w:val="21"/>
              </w:rPr>
              <w:t>设 计 人</w:t>
            </w:r>
          </w:p>
        </w:tc>
        <w:tc>
          <w:tcPr>
            <w:tcW w:w="3780" w:type="dxa"/>
          </w:tcPr>
          <w:p w14:paraId="485BE794">
            <w:pPr>
              <w:rPr>
                <w:rFonts w:ascii="宋体" w:hAnsi="宋体"/>
                <w:szCs w:val="21"/>
              </w:rPr>
            </w:pPr>
          </w:p>
        </w:tc>
      </w:tr>
      <w:tr w14:paraId="608AD7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894787">
            <w:pPr>
              <w:jc w:val="both"/>
              <w:rPr>
                <w:rFonts w:ascii="宋体" w:hAnsi="宋体"/>
                <w:szCs w:val="21"/>
              </w:rPr>
            </w:pPr>
            <w:r>
              <w:rPr>
                <w:rFonts w:hint="eastAsia" w:ascii="宋体" w:hAnsi="宋体"/>
                <w:szCs w:val="21"/>
              </w:rPr>
              <w:t>校 对 人</w:t>
            </w:r>
          </w:p>
        </w:tc>
        <w:tc>
          <w:tcPr>
            <w:tcW w:w="3780" w:type="dxa"/>
          </w:tcPr>
          <w:p w14:paraId="2E27C2FB">
            <w:pPr>
              <w:rPr>
                <w:rFonts w:ascii="宋体" w:hAnsi="宋体"/>
                <w:szCs w:val="21"/>
              </w:rPr>
            </w:pPr>
          </w:p>
        </w:tc>
      </w:tr>
      <w:tr w14:paraId="5F554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9B116ED">
            <w:pPr>
              <w:jc w:val="both"/>
              <w:rPr>
                <w:rFonts w:ascii="宋体" w:hAnsi="宋体"/>
                <w:szCs w:val="21"/>
              </w:rPr>
            </w:pPr>
            <w:r>
              <w:rPr>
                <w:rFonts w:hint="eastAsia" w:ascii="宋体" w:hAnsi="宋体"/>
                <w:szCs w:val="21"/>
              </w:rPr>
              <w:t>审 核 人</w:t>
            </w:r>
          </w:p>
        </w:tc>
        <w:tc>
          <w:tcPr>
            <w:tcW w:w="3780" w:type="dxa"/>
          </w:tcPr>
          <w:p w14:paraId="2B082C5A">
            <w:pPr>
              <w:rPr>
                <w:rFonts w:ascii="宋体" w:hAnsi="宋体"/>
                <w:szCs w:val="21"/>
              </w:rPr>
            </w:pPr>
          </w:p>
        </w:tc>
      </w:tr>
      <w:tr w14:paraId="3A04C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05D3AE4">
            <w:pPr>
              <w:jc w:val="both"/>
              <w:rPr>
                <w:rFonts w:ascii="宋体" w:hAnsi="宋体"/>
                <w:szCs w:val="21"/>
              </w:rPr>
            </w:pPr>
            <w:r>
              <w:rPr>
                <w:rFonts w:hint="eastAsia" w:ascii="宋体" w:hAnsi="宋体"/>
                <w:szCs w:val="21"/>
              </w:rPr>
              <w:t>审 定 人</w:t>
            </w:r>
          </w:p>
        </w:tc>
        <w:tc>
          <w:tcPr>
            <w:tcW w:w="3780" w:type="dxa"/>
          </w:tcPr>
          <w:p w14:paraId="7E7B989E">
            <w:pPr>
              <w:rPr>
                <w:rFonts w:ascii="宋体" w:hAnsi="宋体"/>
                <w:szCs w:val="21"/>
              </w:rPr>
            </w:pPr>
          </w:p>
        </w:tc>
      </w:tr>
      <w:tr w14:paraId="785AAC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3BF30DF8">
            <w:pPr>
              <w:jc w:val="both"/>
              <w:rPr>
                <w:rFonts w:ascii="宋体" w:hAnsi="宋体"/>
                <w:szCs w:val="21"/>
              </w:rPr>
            </w:pPr>
            <w:r>
              <w:rPr>
                <w:rFonts w:hint="eastAsia" w:ascii="宋体" w:hAnsi="宋体"/>
                <w:szCs w:val="21"/>
              </w:rPr>
              <w:t>设计日期</w:t>
            </w:r>
          </w:p>
        </w:tc>
        <w:tc>
          <w:tcPr>
            <w:tcW w:w="3780" w:type="dxa"/>
          </w:tcPr>
          <w:p w14:paraId="1AEA0ECE">
            <w:pPr>
              <w:rPr>
                <w:rFonts w:ascii="宋体" w:hAnsi="宋体"/>
                <w:szCs w:val="21"/>
              </w:rPr>
            </w:pPr>
            <w:bookmarkStart w:id="6" w:name="报告日期"/>
            <w:r>
              <w:rPr>
                <w:rFonts w:hint="eastAsia" w:ascii="宋体" w:hAnsi="宋体"/>
                <w:szCs w:val="21"/>
              </w:rPr>
              <w:t>2024年12月26日</w:t>
            </w:r>
          </w:p>
        </w:tc>
      </w:tr>
    </w:tbl>
    <w:p w14:paraId="5887AAB3">
      <w:pPr>
        <w:spacing w:line="240" w:lineRule="auto"/>
        <w:rPr>
          <w:rFonts w:ascii="宋体" w:hAnsi="宋体"/>
          <w:lang w:val="en-US"/>
        </w:rPr>
      </w:pPr>
    </w:p>
    <w:p w14:paraId="1A4836BA">
      <w:pPr>
        <w:spacing w:line="240" w:lineRule="auto"/>
        <w:rPr>
          <w:rFonts w:ascii="宋体" w:hAnsi="宋体"/>
          <w:lang w:val="en-US"/>
        </w:rPr>
      </w:pPr>
    </w:p>
    <w:p w14:paraId="536C3A44">
      <w:pPr>
        <w:spacing w:line="240" w:lineRule="auto"/>
        <w:rPr>
          <w:rFonts w:ascii="宋体" w:hAnsi="宋体"/>
          <w:lang w:val="en-US"/>
        </w:rPr>
      </w:pPr>
    </w:p>
    <w:p w14:paraId="52B8A3F7">
      <w:pPr>
        <w:spacing w:line="240" w:lineRule="auto"/>
        <w:jc w:val="center"/>
        <w:rPr>
          <w:rFonts w:ascii="宋体" w:hAnsi="宋体"/>
          <w:lang w:val="en-US"/>
        </w:rPr>
      </w:pPr>
      <w:bookmarkStart w:id="7" w:name="二维码"/>
      <w:r>
        <w:drawing>
          <wp:inline distT="0" distB="0" distL="0" distR="0">
            <wp:extent cx="1628775" cy="16287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33F76F37">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15CF93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14:paraId="30365E8B">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14:paraId="50C6ED90">
            <w:pPr>
              <w:spacing w:line="240" w:lineRule="atLeast"/>
              <w:rPr>
                <w:sz w:val="18"/>
                <w:szCs w:val="18"/>
              </w:rPr>
            </w:pPr>
            <w:bookmarkStart w:id="8" w:name="采用软件"/>
            <w:r>
              <w:rPr>
                <w:rFonts w:hint="eastAsia"/>
              </w:rPr>
              <w:t>建筑通风Vent2024</w:t>
            </w:r>
          </w:p>
        </w:tc>
      </w:tr>
      <w:tr w14:paraId="27456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4782070A">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14:paraId="6970C069">
            <w:pPr>
              <w:spacing w:line="240" w:lineRule="atLeast"/>
              <w:rPr>
                <w:sz w:val="18"/>
                <w:szCs w:val="18"/>
              </w:rPr>
            </w:pPr>
            <w:bookmarkStart w:id="9" w:name="软件版本"/>
            <w:r>
              <w:rPr>
                <w:rFonts w:hint="eastAsia"/>
                <w:sz w:val="18"/>
                <w:szCs w:val="18"/>
              </w:rPr>
              <w:t>20240430(SP1)</w:t>
            </w:r>
          </w:p>
        </w:tc>
      </w:tr>
      <w:tr w14:paraId="7E0878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074689CC">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14:paraId="3CA67638">
            <w:pPr>
              <w:spacing w:line="240" w:lineRule="atLeast"/>
              <w:rPr>
                <w:sz w:val="18"/>
                <w:szCs w:val="18"/>
              </w:rPr>
            </w:pPr>
            <w:r>
              <w:rPr>
                <w:rFonts w:hint="eastAsia"/>
                <w:sz w:val="18"/>
                <w:szCs w:val="18"/>
              </w:rPr>
              <w:t>北京绿建软件股份有限公司</w:t>
            </w:r>
          </w:p>
        </w:tc>
      </w:tr>
      <w:tr w14:paraId="686F4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14:paraId="07554B58">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14:paraId="44F189B5">
            <w:pPr>
              <w:rPr>
                <w:rFonts w:cstheme="minorBidi"/>
                <w:kern w:val="2"/>
                <w:szCs w:val="18"/>
                <w:lang w:val="en-US"/>
              </w:rPr>
            </w:pPr>
            <w:bookmarkStart w:id="10" w:name="加密锁号"/>
            <w:r>
              <w:rPr>
                <w:rFonts w:hint="eastAsia"/>
              </w:rPr>
              <w:t>T18871289793</w:t>
            </w:r>
          </w:p>
        </w:tc>
      </w:tr>
    </w:tbl>
    <w:p w14:paraId="35B909D4">
      <w:pPr>
        <w:spacing w:line="240" w:lineRule="auto"/>
        <w:jc w:val="center"/>
        <w:rPr>
          <w:rFonts w:ascii="宋体" w:hAnsi="宋体"/>
          <w:b/>
          <w:bCs/>
          <w:sz w:val="30"/>
          <w:szCs w:val="32"/>
        </w:rPr>
      </w:pPr>
    </w:p>
    <w:p w14:paraId="3F6B3653">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6C4DF7FE">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_Toc15006 </w:instrText>
      </w:r>
      <w:r>
        <w:rPr>
          <w:rFonts w:ascii="宋体" w:hAnsi="宋体"/>
          <w:bCs w:val="0"/>
          <w:caps/>
        </w:rPr>
        <w:fldChar w:fldCharType="separate"/>
      </w:r>
      <w:r>
        <w:rPr>
          <w:rFonts w:hint="eastAsia"/>
        </w:rPr>
        <w:t>1 项目概况</w:t>
      </w:r>
      <w:r>
        <w:tab/>
      </w:r>
      <w:r>
        <w:fldChar w:fldCharType="begin"/>
      </w:r>
      <w:r>
        <w:instrText xml:space="preserve"> PAGEREF _Toc15006 \h </w:instrText>
      </w:r>
      <w:r>
        <w:fldChar w:fldCharType="separate"/>
      </w:r>
      <w:r>
        <w:t>3</w:t>
      </w:r>
      <w:r>
        <w:fldChar w:fldCharType="end"/>
      </w:r>
      <w:r>
        <w:rPr>
          <w:rFonts w:ascii="宋体" w:hAnsi="宋体"/>
          <w:bCs w:val="0"/>
          <w:caps/>
        </w:rPr>
        <w:fldChar w:fldCharType="end"/>
      </w:r>
    </w:p>
    <w:p w14:paraId="50CA1597">
      <w:pPr>
        <w:pStyle w:val="20"/>
        <w:tabs>
          <w:tab w:val="right" w:leader="dot" w:pos="9070"/>
          <w:tab w:val="clear" w:pos="540"/>
          <w:tab w:val="clear" w:pos="840"/>
          <w:tab w:val="clear" w:pos="9360"/>
        </w:tabs>
      </w:pPr>
      <w:r>
        <w:fldChar w:fldCharType="begin"/>
      </w:r>
      <w:r>
        <w:instrText xml:space="preserve"> HYPERLINK \l _Toc13968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_Toc13968 \h </w:instrText>
      </w:r>
      <w:r>
        <w:fldChar w:fldCharType="separate"/>
      </w:r>
      <w:r>
        <w:t>4</w:t>
      </w:r>
      <w:r>
        <w:fldChar w:fldCharType="end"/>
      </w:r>
      <w:r>
        <w:fldChar w:fldCharType="end"/>
      </w:r>
    </w:p>
    <w:p w14:paraId="007BF619">
      <w:pPr>
        <w:pStyle w:val="20"/>
        <w:tabs>
          <w:tab w:val="right" w:leader="dot" w:pos="9070"/>
          <w:tab w:val="clear" w:pos="540"/>
          <w:tab w:val="clear" w:pos="840"/>
          <w:tab w:val="clear" w:pos="9360"/>
        </w:tabs>
      </w:pPr>
      <w:r>
        <w:fldChar w:fldCharType="begin"/>
      </w:r>
      <w:r>
        <w:instrText xml:space="preserve"> HYPERLINK \l _Toc9235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_Toc9235 \h </w:instrText>
      </w:r>
      <w:r>
        <w:fldChar w:fldCharType="separate"/>
      </w:r>
      <w:r>
        <w:t>5</w:t>
      </w:r>
      <w:r>
        <w:fldChar w:fldCharType="end"/>
      </w:r>
      <w:r>
        <w:fldChar w:fldCharType="end"/>
      </w:r>
    </w:p>
    <w:p w14:paraId="2254BDF1">
      <w:pPr>
        <w:pStyle w:val="19"/>
        <w:tabs>
          <w:tab w:val="right" w:leader="dot" w:pos="9070"/>
          <w:tab w:val="clear" w:pos="180"/>
          <w:tab w:val="clear" w:pos="420"/>
          <w:tab w:val="clear" w:pos="9360"/>
        </w:tabs>
      </w:pPr>
      <w:r>
        <w:fldChar w:fldCharType="begin"/>
      </w:r>
      <w:r>
        <w:instrText xml:space="preserve"> HYPERLINK \l _Toc12721 </w:instrText>
      </w:r>
      <w:r>
        <w:fldChar w:fldCharType="separate"/>
      </w:r>
      <w:r>
        <w:rPr>
          <w:rFonts w:hint="eastAsia"/>
        </w:rPr>
        <w:t>2 计算</w:t>
      </w:r>
      <w:r>
        <w:t>依据</w:t>
      </w:r>
      <w:r>
        <w:tab/>
      </w:r>
      <w:r>
        <w:fldChar w:fldCharType="begin"/>
      </w:r>
      <w:r>
        <w:instrText xml:space="preserve"> PAGEREF _Toc12721 \h </w:instrText>
      </w:r>
      <w:r>
        <w:fldChar w:fldCharType="separate"/>
      </w:r>
      <w:r>
        <w:t>6</w:t>
      </w:r>
      <w:r>
        <w:fldChar w:fldCharType="end"/>
      </w:r>
      <w:r>
        <w:fldChar w:fldCharType="end"/>
      </w:r>
    </w:p>
    <w:p w14:paraId="463A40EA">
      <w:pPr>
        <w:pStyle w:val="19"/>
        <w:tabs>
          <w:tab w:val="right" w:leader="dot" w:pos="9070"/>
          <w:tab w:val="clear" w:pos="180"/>
          <w:tab w:val="clear" w:pos="420"/>
          <w:tab w:val="clear" w:pos="9360"/>
        </w:tabs>
      </w:pPr>
      <w:r>
        <w:fldChar w:fldCharType="begin"/>
      </w:r>
      <w:r>
        <w:instrText xml:space="preserve"> HYPERLINK \l _Toc22487 </w:instrText>
      </w:r>
      <w:r>
        <w:fldChar w:fldCharType="separate"/>
      </w:r>
      <w:r>
        <w:rPr>
          <w:rFonts w:hint="eastAsia"/>
        </w:rPr>
        <w:t>3 参考</w:t>
      </w:r>
      <w:r>
        <w:t>标准</w:t>
      </w:r>
      <w:r>
        <w:tab/>
      </w:r>
      <w:r>
        <w:fldChar w:fldCharType="begin"/>
      </w:r>
      <w:r>
        <w:instrText xml:space="preserve"> PAGEREF _Toc22487 \h </w:instrText>
      </w:r>
      <w:r>
        <w:fldChar w:fldCharType="separate"/>
      </w:r>
      <w:r>
        <w:t>6</w:t>
      </w:r>
      <w:r>
        <w:fldChar w:fldCharType="end"/>
      </w:r>
      <w:r>
        <w:fldChar w:fldCharType="end"/>
      </w:r>
    </w:p>
    <w:p w14:paraId="36FBB3E0">
      <w:pPr>
        <w:pStyle w:val="19"/>
        <w:tabs>
          <w:tab w:val="right" w:leader="dot" w:pos="9070"/>
          <w:tab w:val="clear" w:pos="180"/>
          <w:tab w:val="clear" w:pos="420"/>
          <w:tab w:val="clear" w:pos="9360"/>
        </w:tabs>
      </w:pPr>
      <w:r>
        <w:fldChar w:fldCharType="begin"/>
      </w:r>
      <w:r>
        <w:instrText xml:space="preserve"> HYPERLINK \l _Toc17430 </w:instrText>
      </w:r>
      <w:r>
        <w:fldChar w:fldCharType="separate"/>
      </w:r>
      <w:r>
        <w:rPr>
          <w:rFonts w:hint="eastAsia"/>
        </w:rPr>
        <w:t>4 计算原理</w:t>
      </w:r>
      <w:r>
        <w:tab/>
      </w:r>
      <w:r>
        <w:fldChar w:fldCharType="begin"/>
      </w:r>
      <w:r>
        <w:instrText xml:space="preserve"> PAGEREF _Toc17430 \h </w:instrText>
      </w:r>
      <w:r>
        <w:fldChar w:fldCharType="separate"/>
      </w:r>
      <w:r>
        <w:t>6</w:t>
      </w:r>
      <w:r>
        <w:fldChar w:fldCharType="end"/>
      </w:r>
      <w:r>
        <w:fldChar w:fldCharType="end"/>
      </w:r>
    </w:p>
    <w:p w14:paraId="59E07816">
      <w:pPr>
        <w:pStyle w:val="20"/>
        <w:tabs>
          <w:tab w:val="right" w:leader="dot" w:pos="9070"/>
          <w:tab w:val="clear" w:pos="540"/>
          <w:tab w:val="clear" w:pos="840"/>
          <w:tab w:val="clear" w:pos="9360"/>
        </w:tabs>
      </w:pPr>
      <w:r>
        <w:fldChar w:fldCharType="begin"/>
      </w:r>
      <w:r>
        <w:instrText xml:space="preserve"> HYPERLINK \l _Toc16435 </w:instrText>
      </w:r>
      <w:r>
        <w:fldChar w:fldCharType="separate"/>
      </w:r>
      <w:r>
        <w:rPr>
          <w:rFonts w:hint="eastAsia"/>
          <w:lang w:val="en-GB"/>
        </w:rPr>
        <w:t xml:space="preserve">4.1 </w:t>
      </w:r>
      <w:r>
        <w:rPr>
          <w:rFonts w:hint="eastAsia"/>
        </w:rPr>
        <w:t>风场计算域</w:t>
      </w:r>
      <w:r>
        <w:tab/>
      </w:r>
      <w:r>
        <w:fldChar w:fldCharType="begin"/>
      </w:r>
      <w:r>
        <w:instrText xml:space="preserve"> PAGEREF _Toc16435 \h </w:instrText>
      </w:r>
      <w:r>
        <w:fldChar w:fldCharType="separate"/>
      </w:r>
      <w:r>
        <w:t>6</w:t>
      </w:r>
      <w:r>
        <w:fldChar w:fldCharType="end"/>
      </w:r>
      <w:r>
        <w:fldChar w:fldCharType="end"/>
      </w:r>
    </w:p>
    <w:p w14:paraId="0EF3D7F2">
      <w:pPr>
        <w:pStyle w:val="15"/>
        <w:tabs>
          <w:tab w:val="right" w:leader="dot" w:pos="9070"/>
          <w:tab w:val="clear" w:pos="900"/>
          <w:tab w:val="clear" w:pos="1260"/>
          <w:tab w:val="clear" w:pos="9360"/>
        </w:tabs>
      </w:pPr>
      <w:r>
        <w:fldChar w:fldCharType="begin"/>
      </w:r>
      <w:r>
        <w:instrText xml:space="preserve"> HYPERLINK \l _Toc12929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_Toc12929 \h </w:instrText>
      </w:r>
      <w:r>
        <w:fldChar w:fldCharType="separate"/>
      </w:r>
      <w:r>
        <w:t>6</w:t>
      </w:r>
      <w:r>
        <w:fldChar w:fldCharType="end"/>
      </w:r>
      <w:r>
        <w:fldChar w:fldCharType="end"/>
      </w:r>
    </w:p>
    <w:p w14:paraId="7C3A1D1E">
      <w:pPr>
        <w:pStyle w:val="15"/>
        <w:tabs>
          <w:tab w:val="right" w:leader="dot" w:pos="9070"/>
          <w:tab w:val="clear" w:pos="900"/>
          <w:tab w:val="clear" w:pos="1260"/>
          <w:tab w:val="clear" w:pos="9360"/>
        </w:tabs>
      </w:pPr>
      <w:r>
        <w:fldChar w:fldCharType="begin"/>
      </w:r>
      <w:r>
        <w:instrText xml:space="preserve"> HYPERLINK \l _Toc27667 </w:instrText>
      </w:r>
      <w:r>
        <w:fldChar w:fldCharType="separate"/>
      </w:r>
      <w:r>
        <w:rPr>
          <w:rFonts w:hint="eastAsia" w:eastAsia="宋体"/>
          <w:szCs w:val="24"/>
          <w:lang w:val="en-GB"/>
        </w:rPr>
        <w:t xml:space="preserve">4.1.2 </w:t>
      </w:r>
      <w:r>
        <w:rPr>
          <w:rFonts w:hint="eastAsia"/>
        </w:rPr>
        <w:t>夏季工况风场计算域</w:t>
      </w:r>
      <w:r>
        <w:tab/>
      </w:r>
      <w:r>
        <w:fldChar w:fldCharType="begin"/>
      </w:r>
      <w:r>
        <w:instrText xml:space="preserve"> PAGEREF _Toc27667 \h </w:instrText>
      </w:r>
      <w:r>
        <w:fldChar w:fldCharType="separate"/>
      </w:r>
      <w:r>
        <w:t>7</w:t>
      </w:r>
      <w:r>
        <w:fldChar w:fldCharType="end"/>
      </w:r>
      <w:r>
        <w:fldChar w:fldCharType="end"/>
      </w:r>
    </w:p>
    <w:p w14:paraId="6F0C8654">
      <w:pPr>
        <w:pStyle w:val="20"/>
        <w:tabs>
          <w:tab w:val="right" w:leader="dot" w:pos="9070"/>
          <w:tab w:val="clear" w:pos="540"/>
          <w:tab w:val="clear" w:pos="840"/>
          <w:tab w:val="clear" w:pos="9360"/>
        </w:tabs>
      </w:pPr>
      <w:r>
        <w:fldChar w:fldCharType="begin"/>
      </w:r>
      <w:r>
        <w:instrText xml:space="preserve"> HYPERLINK \l _Toc150 </w:instrText>
      </w:r>
      <w:r>
        <w:fldChar w:fldCharType="separate"/>
      </w:r>
      <w:r>
        <w:rPr>
          <w:rFonts w:hint="eastAsia"/>
          <w:lang w:val="en-GB"/>
        </w:rPr>
        <w:t xml:space="preserve">4.2 </w:t>
      </w:r>
      <w:r>
        <w:rPr>
          <w:rFonts w:hint="eastAsia"/>
        </w:rPr>
        <w:t>网格划分</w:t>
      </w:r>
      <w:r>
        <w:tab/>
      </w:r>
      <w:r>
        <w:fldChar w:fldCharType="begin"/>
      </w:r>
      <w:r>
        <w:instrText xml:space="preserve"> PAGEREF _Toc150 \h </w:instrText>
      </w:r>
      <w:r>
        <w:fldChar w:fldCharType="separate"/>
      </w:r>
      <w:r>
        <w:t>8</w:t>
      </w:r>
      <w:r>
        <w:fldChar w:fldCharType="end"/>
      </w:r>
      <w:r>
        <w:fldChar w:fldCharType="end"/>
      </w:r>
    </w:p>
    <w:p w14:paraId="23B46D21">
      <w:pPr>
        <w:pStyle w:val="20"/>
        <w:tabs>
          <w:tab w:val="right" w:leader="dot" w:pos="9070"/>
          <w:tab w:val="clear" w:pos="540"/>
          <w:tab w:val="clear" w:pos="840"/>
          <w:tab w:val="clear" w:pos="9360"/>
        </w:tabs>
      </w:pPr>
      <w:r>
        <w:fldChar w:fldCharType="begin"/>
      </w:r>
      <w:r>
        <w:instrText xml:space="preserve"> HYPERLINK \l _Toc26450 </w:instrText>
      </w:r>
      <w:r>
        <w:fldChar w:fldCharType="separate"/>
      </w:r>
      <w:r>
        <w:rPr>
          <w:rFonts w:hint="eastAsia"/>
          <w:lang w:val="en-GB"/>
        </w:rPr>
        <w:t xml:space="preserve">4.3 </w:t>
      </w:r>
      <w:r>
        <w:rPr>
          <w:rFonts w:hint="eastAsia"/>
        </w:rPr>
        <w:t>边界条件</w:t>
      </w:r>
      <w:r>
        <w:tab/>
      </w:r>
      <w:r>
        <w:fldChar w:fldCharType="begin"/>
      </w:r>
      <w:r>
        <w:instrText xml:space="preserve"> PAGEREF _Toc26450 \h </w:instrText>
      </w:r>
      <w:r>
        <w:fldChar w:fldCharType="separate"/>
      </w:r>
      <w:r>
        <w:t>10</w:t>
      </w:r>
      <w:r>
        <w:fldChar w:fldCharType="end"/>
      </w:r>
      <w:r>
        <w:fldChar w:fldCharType="end"/>
      </w:r>
    </w:p>
    <w:p w14:paraId="06C1423A">
      <w:pPr>
        <w:pStyle w:val="15"/>
        <w:tabs>
          <w:tab w:val="right" w:leader="dot" w:pos="9070"/>
          <w:tab w:val="clear" w:pos="900"/>
          <w:tab w:val="clear" w:pos="1260"/>
          <w:tab w:val="clear" w:pos="9360"/>
        </w:tabs>
      </w:pPr>
      <w:r>
        <w:fldChar w:fldCharType="begin"/>
      </w:r>
      <w:r>
        <w:instrText xml:space="preserve"> HYPERLINK \l _Toc20098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_Toc20098 \h </w:instrText>
      </w:r>
      <w:r>
        <w:fldChar w:fldCharType="separate"/>
      </w:r>
      <w:r>
        <w:t>11</w:t>
      </w:r>
      <w:r>
        <w:fldChar w:fldCharType="end"/>
      </w:r>
      <w:r>
        <w:fldChar w:fldCharType="end"/>
      </w:r>
    </w:p>
    <w:p w14:paraId="595DE781">
      <w:pPr>
        <w:pStyle w:val="15"/>
        <w:tabs>
          <w:tab w:val="right" w:leader="dot" w:pos="9070"/>
          <w:tab w:val="clear" w:pos="900"/>
          <w:tab w:val="clear" w:pos="1260"/>
          <w:tab w:val="clear" w:pos="9360"/>
        </w:tabs>
      </w:pPr>
      <w:r>
        <w:fldChar w:fldCharType="begin"/>
      </w:r>
      <w:r>
        <w:instrText xml:space="preserve"> HYPERLINK \l _Toc28218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_Toc28218 \h </w:instrText>
      </w:r>
      <w:r>
        <w:fldChar w:fldCharType="separate"/>
      </w:r>
      <w:r>
        <w:t>11</w:t>
      </w:r>
      <w:r>
        <w:fldChar w:fldCharType="end"/>
      </w:r>
      <w:r>
        <w:fldChar w:fldCharType="end"/>
      </w:r>
    </w:p>
    <w:p w14:paraId="3A9D682F">
      <w:pPr>
        <w:pStyle w:val="20"/>
        <w:tabs>
          <w:tab w:val="right" w:leader="dot" w:pos="9070"/>
          <w:tab w:val="clear" w:pos="540"/>
          <w:tab w:val="clear" w:pos="840"/>
          <w:tab w:val="clear" w:pos="9360"/>
        </w:tabs>
      </w:pPr>
      <w:r>
        <w:fldChar w:fldCharType="begin"/>
      </w:r>
      <w:r>
        <w:instrText xml:space="preserve"> HYPERLINK \l _Toc22765 </w:instrText>
      </w:r>
      <w:r>
        <w:fldChar w:fldCharType="separate"/>
      </w:r>
      <w:r>
        <w:rPr>
          <w:rFonts w:hint="eastAsia"/>
          <w:lang w:val="en-GB"/>
        </w:rPr>
        <w:t xml:space="preserve">4.4 </w:t>
      </w:r>
      <w:r>
        <w:rPr>
          <w:rFonts w:hint="eastAsia"/>
        </w:rPr>
        <w:t>湍流模型</w:t>
      </w:r>
      <w:r>
        <w:tab/>
      </w:r>
      <w:r>
        <w:fldChar w:fldCharType="begin"/>
      </w:r>
      <w:r>
        <w:instrText xml:space="preserve"> PAGEREF _Toc22765 \h </w:instrText>
      </w:r>
      <w:r>
        <w:fldChar w:fldCharType="separate"/>
      </w:r>
      <w:r>
        <w:t>11</w:t>
      </w:r>
      <w:r>
        <w:fldChar w:fldCharType="end"/>
      </w:r>
      <w:r>
        <w:fldChar w:fldCharType="end"/>
      </w:r>
    </w:p>
    <w:p w14:paraId="439EB83E">
      <w:pPr>
        <w:pStyle w:val="20"/>
        <w:tabs>
          <w:tab w:val="right" w:leader="dot" w:pos="9070"/>
          <w:tab w:val="clear" w:pos="540"/>
          <w:tab w:val="clear" w:pos="840"/>
          <w:tab w:val="clear" w:pos="9360"/>
        </w:tabs>
      </w:pPr>
      <w:r>
        <w:fldChar w:fldCharType="begin"/>
      </w:r>
      <w:r>
        <w:instrText xml:space="preserve"> HYPERLINK \l _Toc7729 </w:instrText>
      </w:r>
      <w:r>
        <w:fldChar w:fldCharType="separate"/>
      </w:r>
      <w:r>
        <w:rPr>
          <w:rFonts w:hint="eastAsia"/>
          <w:lang w:val="en-GB"/>
        </w:rPr>
        <w:t xml:space="preserve">4.5 </w:t>
      </w:r>
      <w:r>
        <w:rPr>
          <w:rFonts w:hint="eastAsia"/>
        </w:rPr>
        <w:t>求解计算</w:t>
      </w:r>
      <w:r>
        <w:tab/>
      </w:r>
      <w:r>
        <w:fldChar w:fldCharType="begin"/>
      </w:r>
      <w:r>
        <w:instrText xml:space="preserve"> PAGEREF _Toc7729 \h </w:instrText>
      </w:r>
      <w:r>
        <w:fldChar w:fldCharType="separate"/>
      </w:r>
      <w:r>
        <w:t>12</w:t>
      </w:r>
      <w:r>
        <w:fldChar w:fldCharType="end"/>
      </w:r>
      <w:r>
        <w:fldChar w:fldCharType="end"/>
      </w:r>
    </w:p>
    <w:p w14:paraId="6AE42DF9">
      <w:pPr>
        <w:pStyle w:val="20"/>
        <w:tabs>
          <w:tab w:val="right" w:leader="dot" w:pos="9070"/>
          <w:tab w:val="clear" w:pos="540"/>
          <w:tab w:val="clear" w:pos="840"/>
          <w:tab w:val="clear" w:pos="9360"/>
        </w:tabs>
      </w:pPr>
      <w:r>
        <w:fldChar w:fldCharType="begin"/>
      </w:r>
      <w:r>
        <w:instrText xml:space="preserve"> HYPERLINK \l _Toc21889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_Toc21889 \h </w:instrText>
      </w:r>
      <w:r>
        <w:fldChar w:fldCharType="separate"/>
      </w:r>
      <w:r>
        <w:t>13</w:t>
      </w:r>
      <w:r>
        <w:fldChar w:fldCharType="end"/>
      </w:r>
      <w:r>
        <w:fldChar w:fldCharType="end"/>
      </w:r>
    </w:p>
    <w:p w14:paraId="31A588DC">
      <w:pPr>
        <w:pStyle w:val="19"/>
        <w:tabs>
          <w:tab w:val="right" w:leader="dot" w:pos="9070"/>
          <w:tab w:val="clear" w:pos="180"/>
          <w:tab w:val="clear" w:pos="420"/>
          <w:tab w:val="clear" w:pos="9360"/>
        </w:tabs>
      </w:pPr>
      <w:r>
        <w:fldChar w:fldCharType="begin"/>
      </w:r>
      <w:r>
        <w:instrText xml:space="preserve"> HYPERLINK \l _Toc30850 </w:instrText>
      </w:r>
      <w:r>
        <w:fldChar w:fldCharType="separate"/>
      </w:r>
      <w:r>
        <w:rPr>
          <w:rFonts w:hint="eastAsia"/>
        </w:rPr>
        <w:t>5 结果</w:t>
      </w:r>
      <w:r>
        <w:t>分析</w:t>
      </w:r>
      <w:r>
        <w:tab/>
      </w:r>
      <w:r>
        <w:fldChar w:fldCharType="begin"/>
      </w:r>
      <w:r>
        <w:instrText xml:space="preserve"> PAGEREF _Toc30850 \h </w:instrText>
      </w:r>
      <w:r>
        <w:fldChar w:fldCharType="separate"/>
      </w:r>
      <w:r>
        <w:t>14</w:t>
      </w:r>
      <w:r>
        <w:fldChar w:fldCharType="end"/>
      </w:r>
      <w:r>
        <w:fldChar w:fldCharType="end"/>
      </w:r>
    </w:p>
    <w:p w14:paraId="22C7647D">
      <w:pPr>
        <w:pStyle w:val="20"/>
        <w:tabs>
          <w:tab w:val="right" w:leader="dot" w:pos="9070"/>
          <w:tab w:val="clear" w:pos="540"/>
          <w:tab w:val="clear" w:pos="840"/>
          <w:tab w:val="clear" w:pos="9360"/>
        </w:tabs>
      </w:pPr>
      <w:r>
        <w:fldChar w:fldCharType="begin"/>
      </w:r>
      <w:r>
        <w:instrText xml:space="preserve"> HYPERLINK \l _Toc14052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_Toc14052 \h </w:instrText>
      </w:r>
      <w:r>
        <w:fldChar w:fldCharType="separate"/>
      </w:r>
      <w:r>
        <w:t>14</w:t>
      </w:r>
      <w:r>
        <w:fldChar w:fldCharType="end"/>
      </w:r>
      <w:r>
        <w:fldChar w:fldCharType="end"/>
      </w:r>
    </w:p>
    <w:p w14:paraId="562FB139">
      <w:pPr>
        <w:pStyle w:val="20"/>
        <w:tabs>
          <w:tab w:val="right" w:leader="dot" w:pos="9070"/>
          <w:tab w:val="clear" w:pos="540"/>
          <w:tab w:val="clear" w:pos="840"/>
          <w:tab w:val="clear" w:pos="9360"/>
        </w:tabs>
      </w:pPr>
      <w:r>
        <w:fldChar w:fldCharType="begin"/>
      </w:r>
      <w:r>
        <w:instrText xml:space="preserve"> HYPERLINK \l _Toc5198 </w:instrText>
      </w:r>
      <w:r>
        <w:fldChar w:fldCharType="separate"/>
      </w:r>
      <w:r>
        <w:rPr>
          <w:rFonts w:hint="eastAsia"/>
          <w:lang w:val="en-GB"/>
        </w:rPr>
        <w:t xml:space="preserve">5.2 </w:t>
      </w:r>
      <w:r>
        <w:rPr>
          <w:rFonts w:hint="eastAsia"/>
        </w:rPr>
        <w:t>冬季工况</w:t>
      </w:r>
      <w:r>
        <w:tab/>
      </w:r>
      <w:r>
        <w:fldChar w:fldCharType="begin"/>
      </w:r>
      <w:r>
        <w:instrText xml:space="preserve"> PAGEREF _Toc5198 \h </w:instrText>
      </w:r>
      <w:r>
        <w:fldChar w:fldCharType="separate"/>
      </w:r>
      <w:r>
        <w:t>14</w:t>
      </w:r>
      <w:r>
        <w:fldChar w:fldCharType="end"/>
      </w:r>
      <w:r>
        <w:fldChar w:fldCharType="end"/>
      </w:r>
    </w:p>
    <w:p w14:paraId="4944A5B8">
      <w:pPr>
        <w:pStyle w:val="15"/>
        <w:tabs>
          <w:tab w:val="right" w:leader="dot" w:pos="9070"/>
          <w:tab w:val="clear" w:pos="900"/>
          <w:tab w:val="clear" w:pos="1260"/>
          <w:tab w:val="clear" w:pos="9360"/>
        </w:tabs>
      </w:pPr>
      <w:r>
        <w:fldChar w:fldCharType="begin"/>
      </w:r>
      <w:r>
        <w:instrText xml:space="preserve"> HYPERLINK \l _Toc28623 </w:instrText>
      </w:r>
      <w:r>
        <w:fldChar w:fldCharType="separate"/>
      </w:r>
      <w:r>
        <w:rPr>
          <w:rFonts w:hint="eastAsia" w:eastAsia="宋体"/>
          <w:szCs w:val="24"/>
          <w:lang w:val="en-GB"/>
        </w:rPr>
        <w:t xml:space="preserve">5.2.1 </w:t>
      </w:r>
      <w:r>
        <w:rPr>
          <w:rFonts w:hint="eastAsia"/>
        </w:rPr>
        <w:t>风速达标分析</w:t>
      </w:r>
      <w:r>
        <w:tab/>
      </w:r>
      <w:r>
        <w:fldChar w:fldCharType="begin"/>
      </w:r>
      <w:r>
        <w:instrText xml:space="preserve"> PAGEREF _Toc28623 \h </w:instrText>
      </w:r>
      <w:r>
        <w:fldChar w:fldCharType="separate"/>
      </w:r>
      <w:r>
        <w:t>14</w:t>
      </w:r>
      <w:r>
        <w:fldChar w:fldCharType="end"/>
      </w:r>
      <w:r>
        <w:fldChar w:fldCharType="end"/>
      </w:r>
    </w:p>
    <w:p w14:paraId="002594F5">
      <w:pPr>
        <w:pStyle w:val="15"/>
        <w:tabs>
          <w:tab w:val="right" w:leader="dot" w:pos="9070"/>
          <w:tab w:val="clear" w:pos="900"/>
          <w:tab w:val="clear" w:pos="1260"/>
          <w:tab w:val="clear" w:pos="9360"/>
        </w:tabs>
      </w:pPr>
      <w:r>
        <w:fldChar w:fldCharType="begin"/>
      </w:r>
      <w:r>
        <w:instrText xml:space="preserve"> HYPERLINK \l _Toc2497 </w:instrText>
      </w:r>
      <w:r>
        <w:fldChar w:fldCharType="separate"/>
      </w:r>
      <w:r>
        <w:rPr>
          <w:rFonts w:hint="eastAsia" w:eastAsia="宋体"/>
          <w:szCs w:val="24"/>
          <w:lang w:val="en-GB"/>
        </w:rPr>
        <w:t xml:space="preserve">5.2.2 </w:t>
      </w:r>
      <w:r>
        <w:rPr>
          <w:rFonts w:hint="eastAsia"/>
        </w:rPr>
        <w:t>风速放大系数达标分析</w:t>
      </w:r>
      <w:r>
        <w:tab/>
      </w:r>
      <w:r>
        <w:fldChar w:fldCharType="begin"/>
      </w:r>
      <w:r>
        <w:instrText xml:space="preserve"> PAGEREF _Toc2497 \h </w:instrText>
      </w:r>
      <w:r>
        <w:fldChar w:fldCharType="separate"/>
      </w:r>
      <w:r>
        <w:t>15</w:t>
      </w:r>
      <w:r>
        <w:fldChar w:fldCharType="end"/>
      </w:r>
      <w:r>
        <w:fldChar w:fldCharType="end"/>
      </w:r>
    </w:p>
    <w:p w14:paraId="3D1C714B">
      <w:pPr>
        <w:pStyle w:val="15"/>
        <w:tabs>
          <w:tab w:val="right" w:leader="dot" w:pos="9070"/>
          <w:tab w:val="clear" w:pos="900"/>
          <w:tab w:val="clear" w:pos="1260"/>
          <w:tab w:val="clear" w:pos="9360"/>
        </w:tabs>
      </w:pPr>
      <w:r>
        <w:fldChar w:fldCharType="begin"/>
      </w:r>
      <w:r>
        <w:instrText xml:space="preserve"> HYPERLINK \l _Toc24443 </w:instrText>
      </w:r>
      <w:r>
        <w:fldChar w:fldCharType="separate"/>
      </w:r>
      <w:r>
        <w:rPr>
          <w:rFonts w:hint="eastAsia" w:eastAsia="宋体"/>
          <w:szCs w:val="24"/>
          <w:lang w:val="en-GB"/>
        </w:rPr>
        <w:t xml:space="preserve">5.2.3 </w:t>
      </w:r>
      <w:r>
        <w:rPr>
          <w:rFonts w:hint="eastAsia"/>
        </w:rPr>
        <w:t>冬季工况风速/风速放大系数达标结果汇总</w:t>
      </w:r>
      <w:r>
        <w:tab/>
      </w:r>
      <w:r>
        <w:fldChar w:fldCharType="begin"/>
      </w:r>
      <w:r>
        <w:instrText xml:space="preserve"> PAGEREF _Toc24443 \h </w:instrText>
      </w:r>
      <w:r>
        <w:fldChar w:fldCharType="separate"/>
      </w:r>
      <w:r>
        <w:t>16</w:t>
      </w:r>
      <w:r>
        <w:fldChar w:fldCharType="end"/>
      </w:r>
      <w:r>
        <w:fldChar w:fldCharType="end"/>
      </w:r>
    </w:p>
    <w:p w14:paraId="4A22725C">
      <w:pPr>
        <w:pStyle w:val="15"/>
        <w:tabs>
          <w:tab w:val="right" w:leader="dot" w:pos="9070"/>
          <w:tab w:val="clear" w:pos="900"/>
          <w:tab w:val="clear" w:pos="1260"/>
          <w:tab w:val="clear" w:pos="9360"/>
        </w:tabs>
      </w:pPr>
      <w:r>
        <w:fldChar w:fldCharType="begin"/>
      </w:r>
      <w:r>
        <w:instrText xml:space="preserve"> HYPERLINK \l _Toc14541 </w:instrText>
      </w:r>
      <w:r>
        <w:fldChar w:fldCharType="separate"/>
      </w:r>
      <w:r>
        <w:rPr>
          <w:rFonts w:hint="eastAsia" w:eastAsia="宋体"/>
          <w:szCs w:val="24"/>
          <w:lang w:val="en-GB"/>
        </w:rPr>
        <w:t xml:space="preserve">5.2.4 </w:t>
      </w:r>
      <w:r>
        <w:rPr>
          <w:rFonts w:hint="eastAsia"/>
        </w:rPr>
        <w:t>建筑迎风面和背风面风压分析</w:t>
      </w:r>
      <w:r>
        <w:tab/>
      </w:r>
      <w:r>
        <w:fldChar w:fldCharType="begin"/>
      </w:r>
      <w:r>
        <w:instrText xml:space="preserve"> PAGEREF _Toc14541 \h </w:instrText>
      </w:r>
      <w:r>
        <w:fldChar w:fldCharType="separate"/>
      </w:r>
      <w:r>
        <w:t>16</w:t>
      </w:r>
      <w:r>
        <w:fldChar w:fldCharType="end"/>
      </w:r>
      <w:r>
        <w:fldChar w:fldCharType="end"/>
      </w:r>
    </w:p>
    <w:p w14:paraId="75DF7745">
      <w:pPr>
        <w:pStyle w:val="20"/>
        <w:tabs>
          <w:tab w:val="right" w:leader="dot" w:pos="9070"/>
          <w:tab w:val="clear" w:pos="540"/>
          <w:tab w:val="clear" w:pos="840"/>
          <w:tab w:val="clear" w:pos="9360"/>
        </w:tabs>
      </w:pPr>
      <w:r>
        <w:fldChar w:fldCharType="begin"/>
      </w:r>
      <w:r>
        <w:instrText xml:space="preserve"> HYPERLINK \l _Toc3524 </w:instrText>
      </w:r>
      <w:r>
        <w:fldChar w:fldCharType="separate"/>
      </w:r>
      <w:r>
        <w:rPr>
          <w:rFonts w:hint="eastAsia"/>
          <w:lang w:val="en-GB"/>
        </w:rPr>
        <w:t xml:space="preserve">5.3 </w:t>
      </w:r>
      <w:r>
        <w:rPr>
          <w:rFonts w:hint="eastAsia"/>
        </w:rPr>
        <w:t>夏季工况</w:t>
      </w:r>
      <w:r>
        <w:tab/>
      </w:r>
      <w:r>
        <w:fldChar w:fldCharType="begin"/>
      </w:r>
      <w:r>
        <w:instrText xml:space="preserve"> PAGEREF _Toc3524 \h </w:instrText>
      </w:r>
      <w:r>
        <w:fldChar w:fldCharType="separate"/>
      </w:r>
      <w:r>
        <w:t>18</w:t>
      </w:r>
      <w:r>
        <w:fldChar w:fldCharType="end"/>
      </w:r>
      <w:r>
        <w:fldChar w:fldCharType="end"/>
      </w:r>
    </w:p>
    <w:p w14:paraId="5C156149">
      <w:pPr>
        <w:pStyle w:val="15"/>
        <w:tabs>
          <w:tab w:val="right" w:leader="dot" w:pos="9070"/>
          <w:tab w:val="clear" w:pos="900"/>
          <w:tab w:val="clear" w:pos="1260"/>
          <w:tab w:val="clear" w:pos="9360"/>
        </w:tabs>
      </w:pPr>
      <w:r>
        <w:fldChar w:fldCharType="begin"/>
      </w:r>
      <w:r>
        <w:instrText xml:space="preserve"> HYPERLINK \l _Toc23243 </w:instrText>
      </w:r>
      <w:r>
        <w:fldChar w:fldCharType="separate"/>
      </w:r>
      <w:r>
        <w:rPr>
          <w:rFonts w:hint="eastAsia" w:eastAsia="宋体"/>
          <w:szCs w:val="24"/>
          <w:lang w:val="en-GB"/>
        </w:rPr>
        <w:t xml:space="preserve">5.3.1 </w:t>
      </w:r>
      <w:r>
        <w:rPr>
          <w:rFonts w:hint="eastAsia"/>
        </w:rPr>
        <w:t>无风区计算分析</w:t>
      </w:r>
      <w:r>
        <w:tab/>
      </w:r>
      <w:r>
        <w:fldChar w:fldCharType="begin"/>
      </w:r>
      <w:r>
        <w:instrText xml:space="preserve"> PAGEREF _Toc23243 \h </w:instrText>
      </w:r>
      <w:r>
        <w:fldChar w:fldCharType="separate"/>
      </w:r>
      <w:r>
        <w:t>19</w:t>
      </w:r>
      <w:r>
        <w:fldChar w:fldCharType="end"/>
      </w:r>
      <w:r>
        <w:fldChar w:fldCharType="end"/>
      </w:r>
    </w:p>
    <w:p w14:paraId="2DB87325">
      <w:pPr>
        <w:pStyle w:val="15"/>
        <w:tabs>
          <w:tab w:val="right" w:leader="dot" w:pos="9070"/>
          <w:tab w:val="clear" w:pos="900"/>
          <w:tab w:val="clear" w:pos="1260"/>
          <w:tab w:val="clear" w:pos="9360"/>
        </w:tabs>
      </w:pPr>
      <w:r>
        <w:fldChar w:fldCharType="begin"/>
      </w:r>
      <w:r>
        <w:instrText xml:space="preserve"> HYPERLINK \l _Toc994 </w:instrText>
      </w:r>
      <w:r>
        <w:fldChar w:fldCharType="separate"/>
      </w:r>
      <w:r>
        <w:rPr>
          <w:rFonts w:hint="eastAsia" w:eastAsia="宋体"/>
          <w:szCs w:val="24"/>
          <w:lang w:val="en-GB"/>
        </w:rPr>
        <w:t xml:space="preserve">5.3.2 </w:t>
      </w:r>
      <w:r>
        <w:rPr>
          <w:rFonts w:hint="eastAsia"/>
        </w:rPr>
        <w:t>旋涡区分析</w:t>
      </w:r>
      <w:r>
        <w:tab/>
      </w:r>
      <w:r>
        <w:fldChar w:fldCharType="begin"/>
      </w:r>
      <w:r>
        <w:instrText xml:space="preserve"> PAGEREF _Toc994 \h </w:instrText>
      </w:r>
      <w:r>
        <w:fldChar w:fldCharType="separate"/>
      </w:r>
      <w:r>
        <w:t>19</w:t>
      </w:r>
      <w:r>
        <w:fldChar w:fldCharType="end"/>
      </w:r>
      <w:r>
        <w:fldChar w:fldCharType="end"/>
      </w:r>
    </w:p>
    <w:p w14:paraId="76E2BFD7">
      <w:pPr>
        <w:pStyle w:val="15"/>
        <w:tabs>
          <w:tab w:val="right" w:leader="dot" w:pos="9070"/>
          <w:tab w:val="clear" w:pos="900"/>
          <w:tab w:val="clear" w:pos="1260"/>
          <w:tab w:val="clear" w:pos="9360"/>
        </w:tabs>
      </w:pPr>
      <w:r>
        <w:fldChar w:fldCharType="begin"/>
      </w:r>
      <w:r>
        <w:instrText xml:space="preserve"> HYPERLINK \l _Toc15434 </w:instrText>
      </w:r>
      <w:r>
        <w:fldChar w:fldCharType="separate"/>
      </w:r>
      <w:r>
        <w:rPr>
          <w:rFonts w:hint="eastAsia" w:eastAsia="宋体"/>
          <w:szCs w:val="24"/>
          <w:lang w:val="en-GB"/>
        </w:rPr>
        <w:t xml:space="preserve">5.3.3 </w:t>
      </w:r>
      <w:r>
        <w:rPr>
          <w:rFonts w:hint="eastAsia"/>
        </w:rPr>
        <w:t>旋涡区/无风区达标结果汇总</w:t>
      </w:r>
      <w:r>
        <w:tab/>
      </w:r>
      <w:r>
        <w:fldChar w:fldCharType="begin"/>
      </w:r>
      <w:r>
        <w:instrText xml:space="preserve"> PAGEREF _Toc15434 \h </w:instrText>
      </w:r>
      <w:r>
        <w:fldChar w:fldCharType="separate"/>
      </w:r>
      <w:r>
        <w:t>20</w:t>
      </w:r>
      <w:r>
        <w:fldChar w:fldCharType="end"/>
      </w:r>
      <w:r>
        <w:fldChar w:fldCharType="end"/>
      </w:r>
    </w:p>
    <w:p w14:paraId="7EF5D9F3">
      <w:pPr>
        <w:pStyle w:val="15"/>
        <w:tabs>
          <w:tab w:val="right" w:leader="dot" w:pos="9070"/>
          <w:tab w:val="clear" w:pos="900"/>
          <w:tab w:val="clear" w:pos="1260"/>
          <w:tab w:val="clear" w:pos="9360"/>
        </w:tabs>
      </w:pPr>
      <w:r>
        <w:fldChar w:fldCharType="begin"/>
      </w:r>
      <w:r>
        <w:instrText xml:space="preserve"> HYPERLINK \l _Toc2937 </w:instrText>
      </w:r>
      <w:r>
        <w:fldChar w:fldCharType="separate"/>
      </w:r>
      <w:r>
        <w:rPr>
          <w:rFonts w:hint="eastAsia" w:eastAsia="宋体"/>
          <w:szCs w:val="24"/>
          <w:lang w:val="en-GB"/>
        </w:rPr>
        <w:t xml:space="preserve">5.3.4 </w:t>
      </w:r>
      <w:r>
        <w:rPr>
          <w:rFonts w:hint="eastAsia"/>
        </w:rPr>
        <w:t>外窗内外表面风压差达标分析</w:t>
      </w:r>
      <w:r>
        <w:tab/>
      </w:r>
      <w:r>
        <w:fldChar w:fldCharType="begin"/>
      </w:r>
      <w:r>
        <w:instrText xml:space="preserve"> PAGEREF _Toc2937 \h </w:instrText>
      </w:r>
      <w:r>
        <w:fldChar w:fldCharType="separate"/>
      </w:r>
      <w:r>
        <w:t>20</w:t>
      </w:r>
      <w:r>
        <w:fldChar w:fldCharType="end"/>
      </w:r>
      <w:r>
        <w:fldChar w:fldCharType="end"/>
      </w:r>
    </w:p>
    <w:p w14:paraId="031A2FFA">
      <w:pPr>
        <w:pStyle w:val="20"/>
        <w:tabs>
          <w:tab w:val="right" w:leader="dot" w:pos="9070"/>
          <w:tab w:val="clear" w:pos="540"/>
          <w:tab w:val="clear" w:pos="840"/>
          <w:tab w:val="clear" w:pos="9360"/>
        </w:tabs>
      </w:pPr>
      <w:r>
        <w:fldChar w:fldCharType="begin"/>
      </w:r>
      <w:r>
        <w:instrText xml:space="preserve"> HYPERLINK \l _Toc14955 </w:instrText>
      </w:r>
      <w:r>
        <w:fldChar w:fldCharType="separate"/>
      </w:r>
      <w:r>
        <w:rPr>
          <w:rFonts w:hint="eastAsia"/>
          <w:lang w:val="en-GB"/>
        </w:rPr>
        <w:t xml:space="preserve">5.4 </w:t>
      </w:r>
      <w:r>
        <w:rPr>
          <w:rFonts w:hint="eastAsia"/>
        </w:rPr>
        <w:t>结论</w:t>
      </w:r>
      <w:r>
        <w:tab/>
      </w:r>
      <w:r>
        <w:fldChar w:fldCharType="begin"/>
      </w:r>
      <w:r>
        <w:instrText xml:space="preserve"> PAGEREF _Toc14955 \h </w:instrText>
      </w:r>
      <w:r>
        <w:fldChar w:fldCharType="separate"/>
      </w:r>
      <w:r>
        <w:t>22</w:t>
      </w:r>
      <w:r>
        <w:fldChar w:fldCharType="end"/>
      </w:r>
      <w:r>
        <w:fldChar w:fldCharType="end"/>
      </w:r>
    </w:p>
    <w:p w14:paraId="60AB25C9">
      <w:pPr>
        <w:pStyle w:val="15"/>
        <w:tabs>
          <w:tab w:val="right" w:leader="dot" w:pos="9070"/>
          <w:tab w:val="clear" w:pos="900"/>
          <w:tab w:val="clear" w:pos="1260"/>
          <w:tab w:val="clear" w:pos="9360"/>
        </w:tabs>
      </w:pPr>
      <w:r>
        <w:fldChar w:fldCharType="begin"/>
      </w:r>
      <w:r>
        <w:instrText xml:space="preserve"> HYPERLINK \l _Toc1798 </w:instrText>
      </w:r>
      <w:r>
        <w:fldChar w:fldCharType="separate"/>
      </w:r>
      <w:r>
        <w:rPr>
          <w:rFonts w:hint="eastAsia" w:eastAsia="宋体"/>
          <w:szCs w:val="24"/>
          <w:lang w:val="en-GB"/>
        </w:rPr>
        <w:t xml:space="preserve">5.4.1 </w:t>
      </w:r>
      <w:r>
        <w:rPr>
          <w:rFonts w:hint="eastAsia"/>
        </w:rPr>
        <w:t>冬季工况达标判断</w:t>
      </w:r>
      <w:r>
        <w:tab/>
      </w:r>
      <w:r>
        <w:fldChar w:fldCharType="begin"/>
      </w:r>
      <w:r>
        <w:instrText xml:space="preserve"> PAGEREF _Toc1798 \h </w:instrText>
      </w:r>
      <w:r>
        <w:fldChar w:fldCharType="separate"/>
      </w:r>
      <w:r>
        <w:t>22</w:t>
      </w:r>
      <w:r>
        <w:fldChar w:fldCharType="end"/>
      </w:r>
      <w:r>
        <w:fldChar w:fldCharType="end"/>
      </w:r>
    </w:p>
    <w:p w14:paraId="6885DF50">
      <w:pPr>
        <w:pStyle w:val="15"/>
        <w:tabs>
          <w:tab w:val="right" w:leader="dot" w:pos="9070"/>
          <w:tab w:val="clear" w:pos="900"/>
          <w:tab w:val="clear" w:pos="1260"/>
          <w:tab w:val="clear" w:pos="9360"/>
        </w:tabs>
      </w:pPr>
      <w:r>
        <w:fldChar w:fldCharType="begin"/>
      </w:r>
      <w:r>
        <w:instrText xml:space="preserve"> HYPERLINK \l _Toc18445 </w:instrText>
      </w:r>
      <w:r>
        <w:fldChar w:fldCharType="separate"/>
      </w:r>
      <w:r>
        <w:rPr>
          <w:rFonts w:hint="eastAsia" w:eastAsia="宋体"/>
          <w:szCs w:val="24"/>
          <w:lang w:val="en-GB"/>
        </w:rPr>
        <w:t xml:space="preserve">5.4.2 </w:t>
      </w:r>
      <w:r>
        <w:rPr>
          <w:rFonts w:hint="eastAsia"/>
        </w:rPr>
        <w:t>过渡季、夏季工况达标判断</w:t>
      </w:r>
      <w:r>
        <w:tab/>
      </w:r>
      <w:r>
        <w:fldChar w:fldCharType="begin"/>
      </w:r>
      <w:r>
        <w:instrText xml:space="preserve"> PAGEREF _Toc18445 \h </w:instrText>
      </w:r>
      <w:r>
        <w:fldChar w:fldCharType="separate"/>
      </w:r>
      <w:r>
        <w:t>22</w:t>
      </w:r>
      <w:r>
        <w:fldChar w:fldCharType="end"/>
      </w:r>
      <w:r>
        <w:fldChar w:fldCharType="end"/>
      </w:r>
    </w:p>
    <w:p w14:paraId="30262D39">
      <w:pPr>
        <w:pStyle w:val="20"/>
        <w:tabs>
          <w:tab w:val="right" w:leader="dot" w:pos="9070"/>
          <w:tab w:val="clear" w:pos="540"/>
          <w:tab w:val="clear" w:pos="840"/>
          <w:tab w:val="clear" w:pos="9360"/>
        </w:tabs>
      </w:pPr>
      <w:r>
        <w:fldChar w:fldCharType="begin"/>
      </w:r>
      <w:r>
        <w:instrText xml:space="preserve"> HYPERLINK \l _Toc8525 </w:instrText>
      </w:r>
      <w:r>
        <w:fldChar w:fldCharType="separate"/>
      </w:r>
      <w:r>
        <w:rPr>
          <w:rFonts w:hint="eastAsia"/>
          <w:lang w:val="en-GB"/>
        </w:rPr>
        <w:t xml:space="preserve">5.5 </w:t>
      </w:r>
      <w:r>
        <w:rPr>
          <w:rFonts w:hint="eastAsia"/>
        </w:rPr>
        <w:t>附录</w:t>
      </w:r>
      <w:r>
        <w:tab/>
      </w:r>
      <w:r>
        <w:fldChar w:fldCharType="begin"/>
      </w:r>
      <w:r>
        <w:instrText xml:space="preserve"> PAGEREF _Toc8525 \h </w:instrText>
      </w:r>
      <w:r>
        <w:fldChar w:fldCharType="separate"/>
      </w:r>
      <w:r>
        <w:t>23</w:t>
      </w:r>
      <w:r>
        <w:fldChar w:fldCharType="end"/>
      </w:r>
      <w:r>
        <w:fldChar w:fldCharType="end"/>
      </w:r>
    </w:p>
    <w:p w14:paraId="02568632">
      <w:pPr>
        <w:pStyle w:val="15"/>
        <w:tabs>
          <w:tab w:val="right" w:leader="dot" w:pos="9070"/>
          <w:tab w:val="clear" w:pos="900"/>
          <w:tab w:val="clear" w:pos="1260"/>
          <w:tab w:val="clear" w:pos="9360"/>
        </w:tabs>
      </w:pPr>
      <w:r>
        <w:fldChar w:fldCharType="begin"/>
      </w:r>
      <w:r>
        <w:instrText xml:space="preserve"> HYPERLINK \l _Toc5945 </w:instrText>
      </w:r>
      <w:r>
        <w:fldChar w:fldCharType="separate"/>
      </w:r>
      <w:r>
        <w:rPr>
          <w:rFonts w:hint="eastAsia" w:eastAsia="宋体"/>
          <w:szCs w:val="24"/>
          <w:lang w:val="en-GB"/>
        </w:rPr>
        <w:t xml:space="preserve">5.5.1 </w:t>
      </w:r>
      <w:r>
        <w:rPr>
          <w:rFonts w:hint="eastAsia"/>
        </w:rPr>
        <w:t>参评建筑迎背风面窗平均风压差表</w:t>
      </w:r>
      <w:r>
        <w:tab/>
      </w:r>
      <w:r>
        <w:fldChar w:fldCharType="begin"/>
      </w:r>
      <w:r>
        <w:instrText xml:space="preserve"> PAGEREF _Toc5945 \h </w:instrText>
      </w:r>
      <w:r>
        <w:fldChar w:fldCharType="separate"/>
      </w:r>
      <w:r>
        <w:t>23</w:t>
      </w:r>
      <w:r>
        <w:fldChar w:fldCharType="end"/>
      </w:r>
      <w:r>
        <w:fldChar w:fldCharType="end"/>
      </w:r>
    </w:p>
    <w:p w14:paraId="5EEAAD8F">
      <w:pPr>
        <w:pStyle w:val="15"/>
        <w:tabs>
          <w:tab w:val="right" w:leader="dot" w:pos="9070"/>
          <w:tab w:val="clear" w:pos="900"/>
          <w:tab w:val="clear" w:pos="1260"/>
          <w:tab w:val="clear" w:pos="9360"/>
        </w:tabs>
      </w:pPr>
      <w:r>
        <w:fldChar w:fldCharType="begin"/>
      </w:r>
      <w:r>
        <w:instrText xml:space="preserve"> HYPERLINK \l _Toc18478 </w:instrText>
      </w:r>
      <w:r>
        <w:fldChar w:fldCharType="separate"/>
      </w:r>
      <w:r>
        <w:rPr>
          <w:rFonts w:hint="eastAsia" w:eastAsia="宋体"/>
          <w:szCs w:val="24"/>
          <w:lang w:val="en-GB"/>
        </w:rPr>
        <w:t xml:space="preserve">5.5.2 </w:t>
      </w:r>
      <w:r>
        <w:rPr>
          <w:rFonts w:hint="eastAsia"/>
        </w:rPr>
        <w:t>不参评建筑迎背风面窗平均风压差表</w:t>
      </w:r>
      <w:r>
        <w:tab/>
      </w:r>
      <w:r>
        <w:fldChar w:fldCharType="begin"/>
      </w:r>
      <w:r>
        <w:instrText xml:space="preserve"> PAGEREF _Toc18478 \h </w:instrText>
      </w:r>
      <w:r>
        <w:fldChar w:fldCharType="separate"/>
      </w:r>
      <w:r>
        <w:t>23</w:t>
      </w:r>
      <w:r>
        <w:fldChar w:fldCharType="end"/>
      </w:r>
      <w:r>
        <w:fldChar w:fldCharType="end"/>
      </w:r>
    </w:p>
    <w:p w14:paraId="154DB8EF">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14:paraId="7878F850">
      <w:pPr>
        <w:pStyle w:val="2"/>
      </w:pPr>
      <w:bookmarkStart w:id="11" w:name="_Toc452108759"/>
      <w:bookmarkStart w:id="12" w:name="_Toc15006"/>
      <w:r>
        <w:rPr>
          <w:rFonts w:hint="eastAsia"/>
        </w:rPr>
        <w:t>项目概况</w:t>
      </w:r>
      <w:bookmarkEnd w:id="11"/>
      <w:bookmarkEnd w:id="12"/>
    </w:p>
    <w:p w14:paraId="2530A3BC">
      <w:pPr>
        <w:pStyle w:val="3"/>
        <w:ind w:firstLine="420"/>
        <w:rPr>
          <w:lang w:val="en-US"/>
        </w:rPr>
      </w:pPr>
      <w:bookmarkStart w:id="13" w:name="项目概况"/>
    </w:p>
    <w:p w14:paraId="7F408762">
      <w:pPr>
        <w:pStyle w:val="3"/>
        <w:ind w:firstLine="420"/>
        <w:rPr>
          <w:lang w:val="en-US"/>
        </w:rPr>
      </w:pPr>
    </w:p>
    <w:p w14:paraId="23DD3C57">
      <w:pPr>
        <w:pStyle w:val="3"/>
        <w:ind w:firstLine="420"/>
        <w:rPr>
          <w:lang w:val="en-US"/>
        </w:rPr>
      </w:pPr>
    </w:p>
    <w:p w14:paraId="25EAB081">
      <w:pPr>
        <w:pStyle w:val="3"/>
        <w:ind w:firstLine="420"/>
        <w:rPr>
          <w:lang w:val="en-US"/>
        </w:rPr>
        <w:sectPr>
          <w:pgSz w:w="11906" w:h="16838"/>
          <w:pgMar w:top="822" w:right="1134" w:bottom="992" w:left="709" w:header="283" w:footer="170" w:gutter="0"/>
          <w:cols w:space="720" w:num="1"/>
          <w:docGrid w:type="linesAndChars" w:linePitch="312" w:charSpace="0"/>
        </w:sectPr>
      </w:pPr>
    </w:p>
    <w:p w14:paraId="141FCDBA">
      <w:pPr>
        <w:pStyle w:val="4"/>
      </w:pPr>
      <w:bookmarkStart w:id="14" w:name="_Toc452108760"/>
      <w:bookmarkStart w:id="15" w:name="_Toc13968"/>
      <w:r>
        <w:rPr>
          <w:rFonts w:hint="eastAsia"/>
        </w:rPr>
        <w:t>总</w:t>
      </w:r>
      <w:r>
        <w:t>平面图</w:t>
      </w:r>
      <w:bookmarkEnd w:id="14"/>
      <w:bookmarkEnd w:id="15"/>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2279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6491D7DF">
            <w:pPr>
              <w:pStyle w:val="3"/>
              <w:spacing w:line="240" w:lineRule="auto"/>
              <w:ind w:firstLine="0" w:firstLineChars="0"/>
              <w:jc w:val="center"/>
              <w:rPr>
                <w:lang w:val="en-US"/>
              </w:rPr>
            </w:pPr>
          </w:p>
        </w:tc>
        <w:tc>
          <w:tcPr>
            <w:tcW w:w="1193" w:type="dxa"/>
            <w:vAlign w:val="center"/>
          </w:tcPr>
          <w:p w14:paraId="0CA87309">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7B9785EB">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40E08A12">
            <w:pPr>
              <w:pStyle w:val="3"/>
              <w:spacing w:line="220" w:lineRule="exact"/>
              <w:ind w:firstLine="0" w:firstLineChars="0"/>
              <w:jc w:val="center"/>
              <w:rPr>
                <w:lang w:val="en-US"/>
              </w:rPr>
            </w:pPr>
          </w:p>
        </w:tc>
        <w:tc>
          <w:tcPr>
            <w:tcW w:w="1417" w:type="dxa"/>
            <w:vAlign w:val="center"/>
          </w:tcPr>
          <w:p w14:paraId="072418B7">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74AD1D74">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33C1B6C0">
            <w:pPr>
              <w:pStyle w:val="3"/>
              <w:spacing w:line="240" w:lineRule="auto"/>
              <w:ind w:firstLine="0" w:firstLineChars="0"/>
              <w:jc w:val="center"/>
              <w:rPr>
                <w:lang w:val="en-US"/>
              </w:rPr>
            </w:pPr>
          </w:p>
        </w:tc>
        <w:tc>
          <w:tcPr>
            <w:tcW w:w="1418" w:type="dxa"/>
            <w:vAlign w:val="center"/>
          </w:tcPr>
          <w:p w14:paraId="7906080C">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2F2C5831">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06A6896A">
            <w:pPr>
              <w:pStyle w:val="3"/>
              <w:spacing w:line="240" w:lineRule="auto"/>
              <w:ind w:firstLine="0" w:firstLineChars="0"/>
              <w:jc w:val="center"/>
              <w:rPr>
                <w:lang w:val="en-US"/>
              </w:rPr>
            </w:pPr>
          </w:p>
        </w:tc>
        <w:tc>
          <w:tcPr>
            <w:tcW w:w="1275" w:type="dxa"/>
            <w:vAlign w:val="center"/>
          </w:tcPr>
          <w:p w14:paraId="1231A7C6">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071B2FE5">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00A9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6AB9F24E">
            <w:pPr>
              <w:pStyle w:val="3"/>
              <w:spacing w:line="240" w:lineRule="auto"/>
              <w:ind w:firstLine="0" w:firstLineChars="0"/>
              <w:jc w:val="center"/>
              <w:rPr>
                <w:lang w:val="en-US"/>
              </w:rPr>
            </w:pPr>
          </w:p>
        </w:tc>
        <w:tc>
          <w:tcPr>
            <w:tcW w:w="1193" w:type="dxa"/>
            <w:vAlign w:val="center"/>
          </w:tcPr>
          <w:p w14:paraId="163DC219">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6A56EB6F">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282DC395">
            <w:pPr>
              <w:pStyle w:val="3"/>
              <w:spacing w:line="220" w:lineRule="exact"/>
              <w:ind w:firstLine="0" w:firstLineChars="0"/>
              <w:jc w:val="center"/>
              <w:rPr>
                <w:lang w:val="en-US"/>
              </w:rPr>
            </w:pPr>
          </w:p>
        </w:tc>
        <w:tc>
          <w:tcPr>
            <w:tcW w:w="1417" w:type="dxa"/>
            <w:vAlign w:val="center"/>
          </w:tcPr>
          <w:p w14:paraId="49AD8BF7">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26493356">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544FF9B6">
            <w:pPr>
              <w:pStyle w:val="3"/>
              <w:spacing w:line="240" w:lineRule="auto"/>
              <w:ind w:firstLine="0" w:firstLineChars="0"/>
              <w:jc w:val="center"/>
              <w:rPr>
                <w:lang w:val="en-US"/>
              </w:rPr>
            </w:pPr>
          </w:p>
        </w:tc>
        <w:tc>
          <w:tcPr>
            <w:tcW w:w="1418" w:type="dxa"/>
            <w:vAlign w:val="center"/>
          </w:tcPr>
          <w:p w14:paraId="4DEBDF31">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2CE9FB77">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03097D83">
            <w:pPr>
              <w:pStyle w:val="3"/>
              <w:spacing w:line="240" w:lineRule="auto"/>
              <w:ind w:firstLine="0" w:firstLineChars="0"/>
              <w:jc w:val="center"/>
              <w:rPr>
                <w:lang w:val="en-US"/>
              </w:rPr>
            </w:pPr>
          </w:p>
        </w:tc>
        <w:tc>
          <w:tcPr>
            <w:tcW w:w="1275" w:type="dxa"/>
            <w:vAlign w:val="center"/>
          </w:tcPr>
          <w:p w14:paraId="737FE524">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28795025">
      <w:pPr>
        <w:pStyle w:val="3"/>
        <w:ind w:firstLine="0" w:firstLineChars="0"/>
        <w:jc w:val="center"/>
        <w:rPr>
          <w:lang w:val="en-US"/>
        </w:rPr>
      </w:pPr>
    </w:p>
    <w:p w14:paraId="3F816DC5">
      <w:pPr>
        <w:pStyle w:val="3"/>
        <w:ind w:firstLine="0" w:firstLineChars="0"/>
        <w:jc w:val="center"/>
        <w:rPr>
          <w:lang w:val="en-US"/>
        </w:rPr>
      </w:pPr>
    </w:p>
    <w:p w14:paraId="6F0CEB41">
      <w:pPr>
        <w:pStyle w:val="3"/>
        <w:ind w:firstLine="0" w:firstLineChars="0"/>
        <w:jc w:val="center"/>
        <w:rPr>
          <w:lang w:val="en-US"/>
        </w:rPr>
      </w:pPr>
    </w:p>
    <w:p w14:paraId="66BDC6D1">
      <w:pPr>
        <w:pStyle w:val="3"/>
        <w:ind w:firstLine="0" w:firstLineChars="0"/>
        <w:jc w:val="center"/>
        <w:rPr>
          <w:lang w:val="en-US"/>
        </w:rPr>
      </w:pPr>
      <w:r>
        <w:rPr>
          <w:rFonts w:hint="eastAsia"/>
          <w:lang w:val="en-US"/>
        </w:rPr>
        <w:t xml:space="preserve"> </w:t>
      </w:r>
      <w:bookmarkStart w:id="16" w:name="总平面图"/>
      <w:bookmarkEnd w:id="16"/>
      <w:r>
        <w:drawing>
          <wp:inline distT="0" distB="0" distL="0" distR="0">
            <wp:extent cx="5667375" cy="34671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0"/>
                    <a:stretch>
                      <a:fillRect/>
                    </a:stretch>
                  </pic:blipFill>
                  <pic:spPr>
                    <a:xfrm>
                      <a:off x="0" y="0"/>
                      <a:ext cx="5667375" cy="3467100"/>
                    </a:xfrm>
                    <a:prstGeom prst="rect">
                      <a:avLst/>
                    </a:prstGeom>
                  </pic:spPr>
                </pic:pic>
              </a:graphicData>
            </a:graphic>
          </wp:inline>
        </w:drawing>
      </w:r>
    </w:p>
    <w:p w14:paraId="3AB79AAD">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14:paraId="25EDD216">
      <w:pPr>
        <w:pStyle w:val="3"/>
        <w:ind w:firstLine="420"/>
        <w:rPr>
          <w:lang w:val="en-US"/>
        </w:rPr>
        <w:sectPr>
          <w:pgSz w:w="11906" w:h="16838"/>
          <w:pgMar w:top="992" w:right="709" w:bottom="822" w:left="1134" w:header="284" w:footer="170" w:gutter="0"/>
          <w:cols w:space="720" w:num="1"/>
          <w:docGrid w:type="linesAndChars" w:linePitch="312" w:charSpace="0"/>
        </w:sectPr>
      </w:pPr>
    </w:p>
    <w:p w14:paraId="04C7BC51">
      <w:pPr>
        <w:pStyle w:val="4"/>
      </w:pPr>
      <w:bookmarkStart w:id="17" w:name="_Toc452108761"/>
      <w:bookmarkStart w:id="18" w:name="_Toc9235"/>
      <w:r>
        <w:rPr>
          <w:rFonts w:hint="eastAsia"/>
        </w:rPr>
        <w:t>三</w:t>
      </w:r>
      <w:r>
        <w:t>维视图</w:t>
      </w:r>
      <w:bookmarkEnd w:id="17"/>
      <w:bookmarkEnd w:id="18"/>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0E57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0FA6F164">
            <w:pPr>
              <w:pStyle w:val="3"/>
              <w:spacing w:line="240" w:lineRule="auto"/>
              <w:ind w:firstLine="0" w:firstLineChars="0"/>
              <w:jc w:val="center"/>
              <w:rPr>
                <w:lang w:val="en-US"/>
              </w:rPr>
            </w:pPr>
          </w:p>
        </w:tc>
        <w:tc>
          <w:tcPr>
            <w:tcW w:w="1193" w:type="dxa"/>
            <w:vAlign w:val="center"/>
          </w:tcPr>
          <w:p w14:paraId="3D3BB703">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7808F460">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4F9D9CE1">
            <w:pPr>
              <w:pStyle w:val="3"/>
              <w:spacing w:line="220" w:lineRule="exact"/>
              <w:ind w:firstLine="0" w:firstLineChars="0"/>
              <w:jc w:val="center"/>
              <w:rPr>
                <w:lang w:val="en-US"/>
              </w:rPr>
            </w:pPr>
          </w:p>
        </w:tc>
        <w:tc>
          <w:tcPr>
            <w:tcW w:w="1417" w:type="dxa"/>
            <w:vAlign w:val="center"/>
          </w:tcPr>
          <w:p w14:paraId="3E0ADDF2">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66FF2AB5">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43B032B7">
            <w:pPr>
              <w:pStyle w:val="3"/>
              <w:spacing w:line="240" w:lineRule="auto"/>
              <w:ind w:firstLine="0" w:firstLineChars="0"/>
              <w:jc w:val="center"/>
              <w:rPr>
                <w:lang w:val="en-US"/>
              </w:rPr>
            </w:pPr>
          </w:p>
        </w:tc>
        <w:tc>
          <w:tcPr>
            <w:tcW w:w="1418" w:type="dxa"/>
            <w:vAlign w:val="center"/>
          </w:tcPr>
          <w:p w14:paraId="43C53F24">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1C377C37">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0CBFC119">
            <w:pPr>
              <w:pStyle w:val="3"/>
              <w:spacing w:line="240" w:lineRule="auto"/>
              <w:ind w:firstLine="0" w:firstLineChars="0"/>
              <w:jc w:val="center"/>
              <w:rPr>
                <w:lang w:val="en-US"/>
              </w:rPr>
            </w:pPr>
          </w:p>
        </w:tc>
        <w:tc>
          <w:tcPr>
            <w:tcW w:w="1275" w:type="dxa"/>
            <w:vAlign w:val="center"/>
          </w:tcPr>
          <w:p w14:paraId="705BA1B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1A3654A1">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3CA63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1223FBB3">
            <w:pPr>
              <w:pStyle w:val="3"/>
              <w:spacing w:line="240" w:lineRule="auto"/>
              <w:ind w:firstLine="0" w:firstLineChars="0"/>
              <w:jc w:val="center"/>
              <w:rPr>
                <w:lang w:val="en-US"/>
              </w:rPr>
            </w:pPr>
          </w:p>
        </w:tc>
        <w:tc>
          <w:tcPr>
            <w:tcW w:w="1193" w:type="dxa"/>
            <w:vAlign w:val="center"/>
          </w:tcPr>
          <w:p w14:paraId="6D7D8E18">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1547C3B4">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41632B82">
            <w:pPr>
              <w:pStyle w:val="3"/>
              <w:spacing w:line="220" w:lineRule="exact"/>
              <w:ind w:firstLine="0" w:firstLineChars="0"/>
              <w:jc w:val="center"/>
              <w:rPr>
                <w:lang w:val="en-US"/>
              </w:rPr>
            </w:pPr>
          </w:p>
        </w:tc>
        <w:tc>
          <w:tcPr>
            <w:tcW w:w="1417" w:type="dxa"/>
            <w:vAlign w:val="center"/>
          </w:tcPr>
          <w:p w14:paraId="039D6539">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414EFF71">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54AFE800">
            <w:pPr>
              <w:pStyle w:val="3"/>
              <w:spacing w:line="240" w:lineRule="auto"/>
              <w:ind w:firstLine="0" w:firstLineChars="0"/>
              <w:jc w:val="center"/>
              <w:rPr>
                <w:lang w:val="en-US"/>
              </w:rPr>
            </w:pPr>
          </w:p>
        </w:tc>
        <w:tc>
          <w:tcPr>
            <w:tcW w:w="1418" w:type="dxa"/>
            <w:vAlign w:val="center"/>
          </w:tcPr>
          <w:p w14:paraId="21AE0B90">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4D85B352">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726D18EA">
            <w:pPr>
              <w:pStyle w:val="3"/>
              <w:spacing w:line="240" w:lineRule="auto"/>
              <w:ind w:firstLine="0" w:firstLineChars="0"/>
              <w:jc w:val="center"/>
              <w:rPr>
                <w:lang w:val="en-US"/>
              </w:rPr>
            </w:pPr>
          </w:p>
        </w:tc>
        <w:tc>
          <w:tcPr>
            <w:tcW w:w="1275" w:type="dxa"/>
            <w:vAlign w:val="center"/>
          </w:tcPr>
          <w:p w14:paraId="15129A8A">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50341BEB">
      <w:pPr>
        <w:pStyle w:val="3"/>
        <w:ind w:firstLine="0" w:firstLineChars="0"/>
        <w:jc w:val="center"/>
        <w:rPr>
          <w:lang w:val="en-US"/>
        </w:rPr>
      </w:pPr>
    </w:p>
    <w:p w14:paraId="74EBC062">
      <w:pPr>
        <w:pStyle w:val="3"/>
        <w:ind w:firstLine="0" w:firstLineChars="0"/>
        <w:jc w:val="center"/>
        <w:rPr>
          <w:lang w:val="en-US"/>
        </w:rPr>
      </w:pPr>
    </w:p>
    <w:p w14:paraId="1D491C66">
      <w:pPr>
        <w:pStyle w:val="3"/>
        <w:ind w:firstLine="0" w:firstLineChars="0"/>
        <w:jc w:val="center"/>
        <w:rPr>
          <w:lang w:val="en-US"/>
        </w:rPr>
      </w:pPr>
    </w:p>
    <w:p w14:paraId="28441B17">
      <w:pPr>
        <w:pStyle w:val="3"/>
        <w:ind w:firstLine="0" w:firstLineChars="0"/>
        <w:jc w:val="center"/>
        <w:rPr>
          <w:lang w:val="en-US"/>
        </w:rPr>
      </w:pPr>
      <w:r>
        <w:rPr>
          <w:rFonts w:hint="eastAsia"/>
          <w:lang w:val="en-US"/>
        </w:rPr>
        <w:t xml:space="preserve"> </w:t>
      </w:r>
      <w:bookmarkStart w:id="19" w:name="三维视图"/>
      <w:bookmarkEnd w:id="19"/>
      <w:r>
        <w:drawing>
          <wp:inline distT="0" distB="0" distL="0" distR="0">
            <wp:extent cx="5667375" cy="34766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1"/>
                    <a:stretch>
                      <a:fillRect/>
                    </a:stretch>
                  </pic:blipFill>
                  <pic:spPr>
                    <a:xfrm>
                      <a:off x="0" y="0"/>
                      <a:ext cx="5667375" cy="3476625"/>
                    </a:xfrm>
                    <a:prstGeom prst="rect">
                      <a:avLst/>
                    </a:prstGeom>
                  </pic:spPr>
                </pic:pic>
              </a:graphicData>
            </a:graphic>
          </wp:inline>
        </w:drawing>
      </w:r>
    </w:p>
    <w:p w14:paraId="2612FAD6">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14:paraId="13FEC722">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3E487B81">
      <w:pPr>
        <w:pStyle w:val="2"/>
      </w:pPr>
      <w:bookmarkStart w:id="20" w:name="TitleFormat"/>
      <w:bookmarkStart w:id="21" w:name="_Toc452108762"/>
      <w:bookmarkStart w:id="22" w:name="_Toc12721"/>
      <w:r>
        <w:rPr>
          <w:rFonts w:hint="eastAsia"/>
        </w:rPr>
        <w:t>计算</w:t>
      </w:r>
      <w:r>
        <w:t>依据</w:t>
      </w:r>
      <w:bookmarkEnd w:id="20"/>
      <w:bookmarkEnd w:id="21"/>
      <w:bookmarkEnd w:id="22"/>
    </w:p>
    <w:p w14:paraId="40001545">
      <w:pPr>
        <w:pStyle w:val="3"/>
        <w:ind w:firstLine="420"/>
        <w:rPr>
          <w:lang w:val="en-US"/>
        </w:rPr>
      </w:pPr>
      <w:r>
        <w:rPr>
          <w:rFonts w:hint="eastAsia"/>
          <w:lang w:val="en-US"/>
        </w:rPr>
        <w:t>本项目主要参照资料为：</w:t>
      </w:r>
    </w:p>
    <w:p w14:paraId="23F33AAC">
      <w:pPr>
        <w:pStyle w:val="3"/>
        <w:numPr>
          <w:ilvl w:val="0"/>
          <w:numId w:val="2"/>
        </w:numPr>
        <w:ind w:firstLineChars="0"/>
        <w:rPr>
          <w:lang w:val="en-US"/>
        </w:rPr>
      </w:pPr>
      <w:bookmarkStart w:id="23" w:name="参考标准名称1"/>
      <w:r>
        <w:rPr>
          <w:rFonts w:hint="eastAsia"/>
          <w:lang w:val="en-US"/>
        </w:rPr>
        <w:t>《绿色建筑评价标准》GB/T50378-2019</w:t>
      </w:r>
      <w:bookmarkEnd w:id="23"/>
    </w:p>
    <w:p w14:paraId="3F93346D">
      <w:pPr>
        <w:pStyle w:val="3"/>
        <w:numPr>
          <w:ilvl w:val="0"/>
          <w:numId w:val="2"/>
        </w:numPr>
        <w:ind w:firstLineChars="0"/>
        <w:rPr>
          <w:lang w:val="en-US"/>
        </w:rPr>
      </w:pPr>
      <w:r>
        <w:rPr>
          <w:rFonts w:hint="eastAsia"/>
          <w:lang w:val="en-US"/>
        </w:rPr>
        <w:t>《建筑通风效果测试与评价标准》JGJ/T 309—2013</w:t>
      </w:r>
    </w:p>
    <w:p w14:paraId="299C6D22">
      <w:pPr>
        <w:pStyle w:val="3"/>
        <w:numPr>
          <w:ilvl w:val="0"/>
          <w:numId w:val="2"/>
        </w:numPr>
        <w:ind w:firstLineChars="0"/>
        <w:rPr>
          <w:lang w:val="en-US"/>
        </w:rPr>
      </w:pPr>
      <w:r>
        <w:rPr>
          <w:rFonts w:hint="eastAsia"/>
          <w:lang w:val="en-US"/>
        </w:rPr>
        <w:t>《绿色建筑评价技术细则》</w:t>
      </w:r>
    </w:p>
    <w:p w14:paraId="08603F66">
      <w:pPr>
        <w:pStyle w:val="3"/>
        <w:numPr>
          <w:ilvl w:val="0"/>
          <w:numId w:val="2"/>
        </w:numPr>
        <w:ind w:firstLineChars="0"/>
        <w:rPr>
          <w:lang w:val="en-US"/>
        </w:rPr>
      </w:pPr>
      <w:r>
        <w:rPr>
          <w:rFonts w:hint="eastAsia"/>
          <w:lang w:val="en-US"/>
        </w:rPr>
        <w:t>委托方提供的总平面图、建筑专业设计图纸、设计效果图等图纸资料</w:t>
      </w:r>
    </w:p>
    <w:p w14:paraId="104F27D3">
      <w:pPr>
        <w:pStyle w:val="2"/>
      </w:pPr>
      <w:bookmarkStart w:id="24" w:name="_Toc452108763"/>
      <w:bookmarkStart w:id="25" w:name="_Toc22487"/>
      <w:r>
        <w:rPr>
          <w:rFonts w:hint="eastAsia"/>
        </w:rPr>
        <w:t>参考</w:t>
      </w:r>
      <w:r>
        <w:t>标准</w:t>
      </w:r>
      <w:bookmarkEnd w:id="24"/>
      <w:bookmarkEnd w:id="25"/>
    </w:p>
    <w:p w14:paraId="4F0A812E">
      <w:pPr>
        <w:pStyle w:val="3"/>
        <w:ind w:firstLine="420"/>
        <w:rPr>
          <w:lang w:val="en-US"/>
        </w:rPr>
      </w:pPr>
      <w:r>
        <w:rPr>
          <w:rFonts w:hint="eastAsia"/>
          <w:lang w:val="en-US"/>
        </w:rPr>
        <w:t>室外风环境评价依据为</w:t>
      </w:r>
      <w:bookmarkStart w:id="26" w:name="参考标准名称2"/>
      <w:r>
        <w:rPr>
          <w:rFonts w:hint="eastAsia"/>
          <w:lang w:val="en-US"/>
        </w:rPr>
        <w:t>《绿色建筑评价标准》GB/T50378-2019</w:t>
      </w:r>
      <w:bookmarkEnd w:id="26"/>
      <w:r>
        <w:rPr>
          <w:rFonts w:hint="eastAsia"/>
          <w:lang w:val="en-US"/>
        </w:rPr>
        <w:t>中有关室外风环境的条目要求。具体要求如下：</w:t>
      </w:r>
    </w:p>
    <w:p w14:paraId="4827FCE5">
      <w:pPr>
        <w:pStyle w:val="3"/>
        <w:ind w:firstLine="420"/>
        <w:rPr>
          <w:lang w:val="en-US"/>
        </w:rPr>
      </w:pPr>
      <w:bookmarkStart w:id="27" w:name="_Toc451698935"/>
      <w:bookmarkStart w:id="28" w:name="_Toc452108764"/>
      <w:bookmarkStart w:id="29"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14:paraId="1614B985">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0" w:name="参考标准冬季风速得分"/>
      <w:r>
        <w:rPr>
          <w:lang w:val="en-US"/>
        </w:rPr>
        <w:t>3</w:t>
      </w:r>
      <w:r>
        <w:rPr>
          <w:rFonts w:hint="eastAsia"/>
          <w:lang w:val="en-US"/>
        </w:rPr>
        <w:t>分；除迎风第一排建筑外，建筑迎风面与背风面表面风压差不超过5Pa，得</w:t>
      </w:r>
      <w:bookmarkStart w:id="31" w:name="参考标准冬季风压得分"/>
      <w:r>
        <w:rPr>
          <w:lang w:val="en-US"/>
        </w:rPr>
        <w:t>2</w:t>
      </w:r>
      <w:r>
        <w:rPr>
          <w:rFonts w:hint="eastAsia"/>
          <w:lang w:val="en-US"/>
        </w:rPr>
        <w:t>分。</w:t>
      </w:r>
    </w:p>
    <w:p w14:paraId="14C5E5C9">
      <w:pPr>
        <w:pStyle w:val="3"/>
        <w:ind w:firstLine="420"/>
        <w:rPr>
          <w:lang w:val="en-US"/>
        </w:rPr>
      </w:pPr>
      <w:r>
        <w:rPr>
          <w:rFonts w:hint="eastAsia"/>
          <w:lang w:val="en-US"/>
        </w:rPr>
        <w:t>2  过渡季、夏季典型风速和风向条件下，场地内人活动区不出现涡旋或无风区，得</w:t>
      </w:r>
      <w:bookmarkStart w:id="32" w:name="参考标准夏季风速得分"/>
      <w:r>
        <w:rPr>
          <w:lang w:val="en-US"/>
        </w:rPr>
        <w:t>3</w:t>
      </w:r>
      <w:bookmarkEnd w:id="32"/>
      <w:r>
        <w:rPr>
          <w:rFonts w:hint="eastAsia"/>
          <w:lang w:val="en-US"/>
        </w:rPr>
        <w:t>分；50%以上可开启外窗室内外表面的风压差大于0.5Pa，得</w:t>
      </w:r>
      <w:bookmarkStart w:id="33" w:name="参考标准夏季风压得分"/>
      <w:r>
        <w:rPr>
          <w:lang w:val="en-US"/>
        </w:rPr>
        <w:t>2</w:t>
      </w:r>
      <w:bookmarkEnd w:id="33"/>
      <w:r>
        <w:rPr>
          <w:rFonts w:hint="eastAsia"/>
          <w:lang w:val="en-US"/>
        </w:rPr>
        <w:t>分。</w:t>
      </w:r>
    </w:p>
    <w:p w14:paraId="37139AFD">
      <w:pPr>
        <w:pStyle w:val="2"/>
      </w:pPr>
      <w:bookmarkStart w:id="34" w:name="_Toc17430"/>
      <w:r>
        <w:rPr>
          <w:rFonts w:hint="eastAsia"/>
        </w:rPr>
        <w:t>计算原理</w:t>
      </w:r>
      <w:bookmarkEnd w:id="27"/>
      <w:bookmarkEnd w:id="28"/>
      <w:bookmarkEnd w:id="34"/>
    </w:p>
    <w:p w14:paraId="262D7675">
      <w:pPr>
        <w:pStyle w:val="4"/>
        <w:numPr>
          <w:ilvl w:val="1"/>
          <w:numId w:val="3"/>
        </w:numPr>
      </w:pPr>
      <w:bookmarkStart w:id="35" w:name="_Toc509844740"/>
      <w:bookmarkStart w:id="36" w:name="_Toc16435"/>
      <w:bookmarkStart w:id="37" w:name="_Toc452108765"/>
      <w:bookmarkStart w:id="38" w:name="_Toc451698937"/>
      <w:r>
        <w:rPr>
          <w:rFonts w:hint="eastAsia"/>
        </w:rPr>
        <w:t>风场计算域</w:t>
      </w:r>
      <w:bookmarkEnd w:id="35"/>
      <w:bookmarkEnd w:id="36"/>
    </w:p>
    <w:p w14:paraId="3FEE92E5">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14:paraId="069E4043">
      <w:pPr>
        <w:pStyle w:val="5"/>
        <w:numPr>
          <w:ilvl w:val="2"/>
          <w:numId w:val="3"/>
        </w:numPr>
      </w:pPr>
      <w:bookmarkStart w:id="39" w:name="季节1"/>
      <w:bookmarkStart w:id="40" w:name="_Toc12929"/>
      <w:r>
        <w:rPr>
          <w:rFonts w:hint="eastAsia"/>
        </w:rPr>
        <w:t>冬季</w:t>
      </w:r>
      <w:bookmarkEnd w:id="39"/>
      <w:r>
        <w:rPr>
          <w:rFonts w:hint="eastAsia"/>
        </w:rPr>
        <w:t>工况风场计算域</w:t>
      </w:r>
      <w:bookmarkEnd w:id="40"/>
    </w:p>
    <w:p w14:paraId="547EC873">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1" w:name="季节2"/>
      <w:r>
        <w:rPr>
          <w:rFonts w:hint="eastAsia" w:ascii="黑体" w:hAnsi="黑体" w:eastAsia="黑体"/>
          <w:sz w:val="20"/>
          <w:szCs w:val="20"/>
        </w:rPr>
        <w:t>冬季</w:t>
      </w:r>
      <w:bookmarkEnd w:id="4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0611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506CF1C9">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42229A6E">
            <w:pPr>
              <w:pStyle w:val="3"/>
              <w:ind w:firstLine="0" w:firstLineChars="0"/>
              <w:rPr>
                <w:lang w:val="en-US"/>
              </w:rPr>
            </w:pPr>
            <w:bookmarkStart w:id="42" w:name="冬季风场X尺寸"/>
            <w:r>
              <w:t>342</w:t>
            </w:r>
            <w:bookmarkEnd w:id="42"/>
          </w:p>
        </w:tc>
      </w:tr>
      <w:tr w14:paraId="7D2E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3E3B5F4D">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596F3360">
            <w:pPr>
              <w:pStyle w:val="3"/>
              <w:ind w:firstLine="0" w:firstLineChars="0"/>
              <w:rPr>
                <w:lang w:val="en-US"/>
              </w:rPr>
            </w:pPr>
            <w:bookmarkStart w:id="43" w:name="冬季风场Y尺寸"/>
            <w:r>
              <w:t>353</w:t>
            </w:r>
            <w:bookmarkEnd w:id="43"/>
          </w:p>
        </w:tc>
      </w:tr>
      <w:tr w14:paraId="1A45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3FE52CDA">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5C5F2106">
            <w:pPr>
              <w:pStyle w:val="3"/>
              <w:ind w:firstLine="0" w:firstLineChars="0"/>
              <w:rPr>
                <w:lang w:val="en-US"/>
              </w:rPr>
            </w:pPr>
            <w:bookmarkStart w:id="44" w:name="冬季风场Z尺寸"/>
            <w:r>
              <w:t>118</w:t>
            </w:r>
            <w:bookmarkEnd w:id="44"/>
          </w:p>
        </w:tc>
      </w:tr>
    </w:tbl>
    <w:p w14:paraId="22258895">
      <w:pPr>
        <w:pStyle w:val="3"/>
        <w:ind w:firstLine="0" w:firstLineChars="0"/>
        <w:jc w:val="center"/>
        <w:rPr>
          <w:lang w:val="en-US"/>
        </w:rPr>
      </w:pPr>
      <w:bookmarkStart w:id="45" w:name="冬季工况风场计算域图示"/>
      <w:bookmarkEnd w:id="45"/>
      <w:r>
        <w:drawing>
          <wp:inline distT="0" distB="0" distL="0" distR="0">
            <wp:extent cx="5667375" cy="33051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2"/>
                    <a:stretch>
                      <a:fillRect/>
                    </a:stretch>
                  </pic:blipFill>
                  <pic:spPr>
                    <a:xfrm>
                      <a:off x="0" y="0"/>
                      <a:ext cx="5667375" cy="3305175"/>
                    </a:xfrm>
                    <a:prstGeom prst="rect">
                      <a:avLst/>
                    </a:prstGeom>
                  </pic:spPr>
                </pic:pic>
              </a:graphicData>
            </a:graphic>
          </wp:inline>
        </w:drawing>
      </w:r>
    </w:p>
    <w:p w14:paraId="0C825A72">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6" w:name="季节3"/>
      <w:r>
        <w:rPr>
          <w:rFonts w:hint="eastAsia" w:ascii="黑体" w:hAnsi="黑体"/>
        </w:rPr>
        <w:t>冬季</w:t>
      </w:r>
      <w:bookmarkEnd w:id="46"/>
      <w:r>
        <w:rPr>
          <w:rFonts w:hint="eastAsia"/>
        </w:rPr>
        <w:t>工况风场计算域图示</w:t>
      </w:r>
      <w:r>
        <w:rPr>
          <w:rFonts w:hint="eastAsia"/>
          <w:szCs w:val="21"/>
          <w:lang w:val="en-US"/>
        </w:rPr>
        <w:t xml:space="preserve"> </w:t>
      </w:r>
    </w:p>
    <w:p w14:paraId="44781FF4">
      <w:pPr>
        <w:pStyle w:val="5"/>
        <w:numPr>
          <w:ilvl w:val="2"/>
          <w:numId w:val="3"/>
        </w:numPr>
      </w:pPr>
      <w:bookmarkStart w:id="47" w:name="_Toc27667"/>
      <w:r>
        <w:rPr>
          <w:rFonts w:hint="eastAsia"/>
        </w:rPr>
        <w:t>夏季工况风场计算域</w:t>
      </w:r>
      <w:bookmarkEnd w:id="47"/>
    </w:p>
    <w:p w14:paraId="17344665">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6CD4B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17A19404">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70F3F109">
            <w:pPr>
              <w:pStyle w:val="3"/>
              <w:ind w:firstLine="0" w:firstLineChars="0"/>
              <w:rPr>
                <w:lang w:val="en-US"/>
              </w:rPr>
            </w:pPr>
            <w:r>
              <w:t>399</w:t>
            </w:r>
          </w:p>
        </w:tc>
      </w:tr>
      <w:tr w14:paraId="1D34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6AF2F38E">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105B7FF7">
            <w:pPr>
              <w:pStyle w:val="3"/>
              <w:ind w:firstLine="0" w:firstLineChars="0"/>
              <w:rPr>
                <w:lang w:val="en-US"/>
              </w:rPr>
            </w:pPr>
            <w:r>
              <w:t>346</w:t>
            </w:r>
          </w:p>
        </w:tc>
      </w:tr>
      <w:tr w14:paraId="5B1B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296E3650">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39CB40AE">
            <w:pPr>
              <w:pStyle w:val="3"/>
              <w:ind w:firstLine="0" w:firstLineChars="0"/>
              <w:rPr>
                <w:lang w:val="en-US"/>
              </w:rPr>
            </w:pPr>
            <w:r>
              <w:t>118</w:t>
            </w:r>
          </w:p>
        </w:tc>
      </w:tr>
    </w:tbl>
    <w:p w14:paraId="46D154AB">
      <w:pPr>
        <w:pStyle w:val="3"/>
        <w:ind w:firstLine="0" w:firstLineChars="0"/>
        <w:jc w:val="center"/>
        <w:rPr>
          <w:lang w:val="en-US"/>
        </w:rPr>
      </w:pPr>
      <w:r>
        <w:drawing>
          <wp:inline distT="0" distB="0" distL="0" distR="0">
            <wp:extent cx="5667375" cy="33051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3"/>
                    <a:stretch>
                      <a:fillRect/>
                    </a:stretch>
                  </pic:blipFill>
                  <pic:spPr>
                    <a:xfrm>
                      <a:off x="0" y="0"/>
                      <a:ext cx="5667375" cy="3305175"/>
                    </a:xfrm>
                    <a:prstGeom prst="rect">
                      <a:avLst/>
                    </a:prstGeom>
                  </pic:spPr>
                </pic:pic>
              </a:graphicData>
            </a:graphic>
          </wp:inline>
        </w:drawing>
      </w:r>
    </w:p>
    <w:p w14:paraId="65C0CB29">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14:paraId="3A0DFF9A">
      <w:pPr>
        <w:pStyle w:val="3"/>
        <w:ind w:firstLine="315" w:firstLineChars="150"/>
        <w:rPr>
          <w:lang w:val="en-US"/>
        </w:rPr>
      </w:pPr>
      <w:bookmarkStart w:id="48" w:name="计算域"/>
      <w:bookmarkEnd w:id="48"/>
    </w:p>
    <w:p w14:paraId="41B8A84D">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14:paraId="19FA1FE9">
      <w:pPr>
        <w:pStyle w:val="4"/>
      </w:pPr>
      <w:bookmarkStart w:id="49" w:name="_Toc150"/>
      <w:bookmarkStart w:id="50" w:name="_Toc509844741"/>
      <w:r>
        <w:rPr>
          <w:rFonts w:hint="eastAsia"/>
        </w:rPr>
        <w:t>网格划分</w:t>
      </w:r>
      <w:bookmarkEnd w:id="49"/>
    </w:p>
    <w:p w14:paraId="2983A143">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5998D2B9">
      <w:pPr>
        <w:pStyle w:val="12"/>
        <w:spacing w:before="156"/>
        <w:ind w:left="426" w:firstLine="0"/>
      </w:pPr>
      <w:r>
        <w:rPr>
          <w:rFonts w:hint="eastAsia"/>
        </w:rPr>
        <w:t>1）一般网格：指除靠近地面和建筑以外的网格，通常不需要特别加密处理</w:t>
      </w:r>
    </w:p>
    <w:p w14:paraId="44EC4933">
      <w:pPr>
        <w:pStyle w:val="12"/>
        <w:numPr>
          <w:ilvl w:val="0"/>
          <w:numId w:val="4"/>
        </w:numPr>
        <w:spacing w:before="156"/>
      </w:pPr>
      <w:bookmarkStart w:id="51" w:name="OLE_LINK15"/>
      <w:r>
        <w:rPr>
          <w:rFonts w:hint="eastAsia"/>
        </w:rPr>
        <w:t>分弧精度：对于有圆弧特征的建筑局部，把圆弧分解为线段时，弦到弧的最大距离；</w:t>
      </w:r>
    </w:p>
    <w:bookmarkEnd w:id="51"/>
    <w:p w14:paraId="0DD73EB7">
      <w:pPr>
        <w:numPr>
          <w:ilvl w:val="0"/>
          <w:numId w:val="4"/>
        </w:numPr>
        <w:adjustRightInd w:val="0"/>
        <w:spacing w:before="156" w:beforeLines="50" w:line="315" w:lineRule="atLeast"/>
        <w:jc w:val="both"/>
        <w:textAlignment w:val="baseline"/>
        <w:rPr>
          <w:rFonts w:ascii="宋体"/>
          <w:lang w:val="en-US"/>
        </w:rPr>
      </w:pPr>
      <w:r>
        <w:rPr>
          <w:rFonts w:hint="eastAsia" w:ascii="宋体"/>
          <w:lang w:val="en-US"/>
        </w:rPr>
        <w:t>最大网格尺寸：计算域内最大网格的尺寸；</w:t>
      </w:r>
    </w:p>
    <w:p w14:paraId="7F713F1D">
      <w:pPr>
        <w:numPr>
          <w:ilvl w:val="0"/>
          <w:numId w:val="4"/>
        </w:numPr>
        <w:adjustRightInd w:val="0"/>
        <w:spacing w:before="156" w:beforeLines="50" w:line="315" w:lineRule="atLeast"/>
        <w:jc w:val="both"/>
        <w:textAlignment w:val="baseline"/>
        <w:rPr>
          <w:rFonts w:hint="eastAsia" w:ascii="宋体"/>
          <w:lang w:val="en-US"/>
        </w:rPr>
      </w:pPr>
      <w:r>
        <w:rPr>
          <w:rFonts w:hint="eastAsia" w:ascii="宋体"/>
          <w:lang w:val="en-US"/>
        </w:rPr>
        <w:t>最小网格尺寸：计算域内最小网格的尺寸；</w:t>
      </w:r>
    </w:p>
    <w:p w14:paraId="08DDE39A">
      <w:pPr>
        <w:numPr>
          <w:ilvl w:val="0"/>
          <w:numId w:val="4"/>
        </w:numPr>
        <w:adjustRightInd w:val="0"/>
        <w:spacing w:before="156" w:beforeLines="50" w:line="315" w:lineRule="atLeast"/>
        <w:jc w:val="both"/>
        <w:textAlignment w:val="baseline"/>
        <w:rPr>
          <w:rFonts w:hint="eastAsia" w:ascii="宋体"/>
          <w:lang w:val="en-US"/>
        </w:rPr>
      </w:pPr>
      <w:r>
        <w:rPr>
          <w:rFonts w:hint="eastAsia" w:ascii="宋体"/>
          <w:lang w:val="en-US"/>
        </w:rPr>
        <w:t>建筑表面细分层厚度：靠近建筑的区域要进行细分，这个包围着建筑的区域边界与建筑表面的距离为建筑表面细分层厚度；</w:t>
      </w:r>
    </w:p>
    <w:p w14:paraId="6EE7D7DB">
      <w:pPr>
        <w:pStyle w:val="12"/>
        <w:spacing w:before="156"/>
        <w:ind w:left="0" w:firstLine="315" w:firstLineChars="150"/>
      </w:pPr>
      <w:r>
        <w:rPr>
          <w:rFonts w:hint="eastAsia"/>
        </w:rPr>
        <w:t>2）地面网格</w:t>
      </w:r>
    </w:p>
    <w:p w14:paraId="43DBA3B4">
      <w:pPr>
        <w:pStyle w:val="12"/>
        <w:spacing w:before="156"/>
        <w:ind w:firstLine="315" w:firstLineChars="150"/>
      </w:pPr>
      <w:r>
        <w:rPr>
          <w:rFonts w:hint="eastAsia"/>
        </w:rPr>
        <w:t>靠近建筑物的区域称为近场，远离建筑物的区域称为远场。</w:t>
      </w:r>
    </w:p>
    <w:p w14:paraId="76BD916A">
      <w:pPr>
        <w:pStyle w:val="12"/>
        <w:spacing w:before="156"/>
        <w:ind w:firstLine="315" w:firstLineChars="150"/>
      </w:pPr>
      <w:r>
        <w:rPr>
          <w:rFonts w:hint="eastAsia"/>
        </w:rPr>
        <w:t>近场的地面网格需要加密，对应地面细分级数较大；而远场地面对应网格较疏，地面细分级数较小。</w:t>
      </w:r>
    </w:p>
    <w:p w14:paraId="7CCBF24C">
      <w:pPr>
        <w:pStyle w:val="12"/>
        <w:spacing w:before="156"/>
        <w:ind w:firstLine="210" w:firstLineChars="100"/>
      </w:pPr>
      <w:r>
        <w:rPr>
          <w:rFonts w:hint="eastAsia"/>
        </w:rPr>
        <w:t>以下为本项目的网格划分信息，上述网格方案对网格的控制分别体现在相应的网格参数中：</w:t>
      </w:r>
    </w:p>
    <w:p w14:paraId="1C324B68">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4F5CC8F6">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48EA378">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282C3A8A">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00C7807B">
            <w:pPr>
              <w:spacing w:line="240" w:lineRule="auto"/>
              <w:jc w:val="center"/>
              <w:rPr>
                <w:szCs w:val="21"/>
                <w:lang w:val="en-US"/>
              </w:rPr>
            </w:pPr>
            <w:r>
              <w:rPr>
                <w:rFonts w:hint="eastAsia"/>
                <w:szCs w:val="21"/>
                <w:lang w:val="en-US"/>
              </w:rPr>
              <w:t>网格尺寸</w:t>
            </w:r>
          </w:p>
        </w:tc>
      </w:tr>
      <w:tr w14:paraId="21F1AFB5">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155BC592">
            <w:pPr>
              <w:spacing w:line="240" w:lineRule="auto"/>
              <w:jc w:val="center"/>
              <w:rPr>
                <w:szCs w:val="21"/>
                <w:lang w:val="en-US"/>
              </w:rPr>
            </w:pPr>
            <w:bookmarkStart w:id="52" w:name="冬季网格总数"/>
            <w:r>
              <w:t>364689</w:t>
            </w:r>
            <w:bookmarkEnd w:id="52"/>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6691682B">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CB2C4CA">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07490D67">
            <w:pPr>
              <w:spacing w:line="240" w:lineRule="auto"/>
              <w:jc w:val="center"/>
              <w:rPr>
                <w:szCs w:val="21"/>
                <w:lang w:val="en-US"/>
              </w:rPr>
            </w:pPr>
            <w:bookmarkStart w:id="53" w:name="冬季分弧精度"/>
            <w:r>
              <w:t>0.18</w:t>
            </w:r>
            <w:bookmarkEnd w:id="53"/>
          </w:p>
        </w:tc>
      </w:tr>
      <w:tr w14:paraId="3C0FF1FD">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2F9F7155">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6D92B2C">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2E994A5">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6FF1E4D1">
            <w:pPr>
              <w:spacing w:line="240" w:lineRule="auto"/>
              <w:jc w:val="center"/>
              <w:rPr>
                <w:szCs w:val="21"/>
                <w:lang w:val="en-US"/>
              </w:rPr>
            </w:pPr>
            <w:bookmarkStart w:id="54" w:name="最大网格尺寸"/>
            <w:r>
              <w:t>16.0</w:t>
            </w:r>
            <w:bookmarkEnd w:id="54"/>
          </w:p>
        </w:tc>
      </w:tr>
      <w:tr w14:paraId="29A66C35">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257D124A">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50836B1">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C895604">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5736B78F">
            <w:pPr>
              <w:spacing w:line="240" w:lineRule="auto"/>
              <w:jc w:val="center"/>
              <w:rPr>
                <w:szCs w:val="21"/>
                <w:lang w:val="en-US"/>
              </w:rPr>
            </w:pPr>
            <w:bookmarkStart w:id="55" w:name="最小网格尺寸"/>
            <w:r>
              <w:t>2.0</w:t>
            </w:r>
            <w:bookmarkEnd w:id="55"/>
          </w:p>
        </w:tc>
      </w:tr>
      <w:tr w14:paraId="15583F38">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5625ABD6">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D77F109">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27AC06A">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5241C269">
            <w:pPr>
              <w:spacing w:line="240" w:lineRule="auto"/>
              <w:jc w:val="center"/>
              <w:rPr>
                <w:szCs w:val="21"/>
                <w:lang w:val="en-US"/>
              </w:rPr>
            </w:pPr>
            <w:bookmarkStart w:id="56" w:name="建筑表面细分层厚度"/>
            <w:r>
              <w:t>4.0</w:t>
            </w:r>
            <w:bookmarkEnd w:id="56"/>
          </w:p>
        </w:tc>
      </w:tr>
      <w:tr w14:paraId="513D36FC">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7F4E5FAB">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754BACCB">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4DBDAEA">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6B0632BF">
            <w:pPr>
              <w:spacing w:line="240" w:lineRule="auto"/>
              <w:jc w:val="center"/>
              <w:rPr>
                <w:szCs w:val="21"/>
                <w:lang w:val="en-US"/>
              </w:rPr>
            </w:pPr>
            <w:bookmarkStart w:id="57" w:name="远场网格尺寸"/>
            <w:r>
              <w:t>4.0</w:t>
            </w:r>
            <w:bookmarkEnd w:id="57"/>
          </w:p>
        </w:tc>
      </w:tr>
      <w:tr w14:paraId="0F892D97">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38558A46">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B045D95">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3E7C044">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77A6BC73">
            <w:pPr>
              <w:spacing w:line="240" w:lineRule="auto"/>
              <w:jc w:val="center"/>
              <w:rPr>
                <w:szCs w:val="21"/>
                <w:lang w:val="en-US"/>
              </w:rPr>
            </w:pPr>
            <w:bookmarkStart w:id="58" w:name="近场网格尺寸"/>
            <w:r>
              <w:t>2.0</w:t>
            </w:r>
            <w:bookmarkEnd w:id="58"/>
          </w:p>
        </w:tc>
      </w:tr>
    </w:tbl>
    <w:p w14:paraId="78FC14C6">
      <w:pPr>
        <w:rPr>
          <w:szCs w:val="21"/>
          <w:lang w:val="en-US"/>
        </w:rPr>
      </w:pPr>
    </w:p>
    <w:p w14:paraId="33D952C7">
      <w:pPr>
        <w:jc w:val="center"/>
      </w:pPr>
      <w:bookmarkStart w:id="59" w:name="网格图"/>
      <w:bookmarkEnd w:id="59"/>
      <w:r>
        <w:drawing>
          <wp:inline distT="0" distB="0" distL="0" distR="0">
            <wp:extent cx="5667375" cy="33909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4"/>
                    <a:stretch>
                      <a:fillRect/>
                    </a:stretch>
                  </pic:blipFill>
                  <pic:spPr>
                    <a:xfrm>
                      <a:off x="0" y="0"/>
                      <a:ext cx="5667375" cy="3390900"/>
                    </a:xfrm>
                    <a:prstGeom prst="rect">
                      <a:avLst/>
                    </a:prstGeom>
                  </pic:spPr>
                </pic:pic>
              </a:graphicData>
            </a:graphic>
          </wp:inline>
        </w:drawing>
      </w:r>
    </w:p>
    <w:p w14:paraId="3CE4EDCE">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60" w:name="季节"/>
      <w:r>
        <w:rPr>
          <w:rFonts w:hint="eastAsia" w:ascii="黑体" w:hAnsi="黑体" w:eastAsia="黑体"/>
          <w:sz w:val="20"/>
          <w:szCs w:val="20"/>
        </w:rPr>
        <w:t>冬季</w:t>
      </w:r>
      <w:bookmarkEnd w:id="60"/>
    </w:p>
    <w:p w14:paraId="7A43E09E">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夏季</w:t>
      </w:r>
      <w:bookmarkEnd w:id="3"/>
      <w:r>
        <w:rPr>
          <w:rFonts w:hint="eastAsia" w:ascii="黑体" w:hAnsi="黑体"/>
        </w:rPr>
        <w:t>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71A43436">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A89FE60">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12135200">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33ECCD1C">
            <w:pPr>
              <w:spacing w:line="240" w:lineRule="auto"/>
              <w:jc w:val="center"/>
              <w:rPr>
                <w:szCs w:val="21"/>
                <w:lang w:val="en-US"/>
              </w:rPr>
            </w:pPr>
            <w:r>
              <w:rPr>
                <w:rFonts w:hint="eastAsia"/>
                <w:szCs w:val="21"/>
                <w:lang w:val="en-US"/>
              </w:rPr>
              <w:t>网格尺寸</w:t>
            </w:r>
          </w:p>
        </w:tc>
      </w:tr>
      <w:tr w14:paraId="74225EB2">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32E38D81">
            <w:pPr>
              <w:spacing w:line="240" w:lineRule="auto"/>
              <w:jc w:val="center"/>
              <w:rPr>
                <w:szCs w:val="21"/>
                <w:lang w:val="en-US"/>
              </w:rPr>
            </w:pPr>
            <w:r>
              <w:t>458939</w:t>
            </w:r>
            <w:bookmarkEnd w:id="4"/>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28616C4E">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FB0BC3D">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65011568">
            <w:pPr>
              <w:spacing w:line="240" w:lineRule="auto"/>
              <w:jc w:val="center"/>
              <w:rPr>
                <w:szCs w:val="21"/>
                <w:lang w:val="en-US"/>
              </w:rPr>
            </w:pPr>
            <w:r>
              <w:t>0.18</w:t>
            </w:r>
          </w:p>
        </w:tc>
      </w:tr>
      <w:tr w14:paraId="5AA49D8B">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114F9ED0">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2B9A598">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8E575B6">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3163EDC3">
            <w:pPr>
              <w:spacing w:line="240" w:lineRule="auto"/>
              <w:jc w:val="center"/>
              <w:rPr>
                <w:szCs w:val="21"/>
                <w:lang w:val="en-US"/>
              </w:rPr>
            </w:pPr>
            <w:r>
              <w:t>16.0</w:t>
            </w:r>
            <w:bookmarkEnd w:id="6"/>
          </w:p>
        </w:tc>
      </w:tr>
      <w:tr w14:paraId="0B4895FF">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4DE14BF6">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52C41A5">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332E9CFB">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60ACD688">
            <w:pPr>
              <w:spacing w:line="240" w:lineRule="auto"/>
              <w:jc w:val="center"/>
              <w:rPr>
                <w:szCs w:val="21"/>
                <w:lang w:val="en-US"/>
              </w:rPr>
            </w:pPr>
            <w:r>
              <w:t>2.0</w:t>
            </w:r>
            <w:bookmarkEnd w:id="7"/>
          </w:p>
        </w:tc>
      </w:tr>
      <w:tr w14:paraId="59DB414C">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6F96EF23">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6F52D29">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5E0747DA">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50436ADD">
            <w:pPr>
              <w:spacing w:line="240" w:lineRule="auto"/>
              <w:jc w:val="center"/>
              <w:rPr>
                <w:szCs w:val="21"/>
                <w:lang w:val="en-US"/>
              </w:rPr>
            </w:pPr>
            <w:r>
              <w:t>4.0</w:t>
            </w:r>
            <w:bookmarkEnd w:id="8"/>
          </w:p>
        </w:tc>
      </w:tr>
      <w:tr w14:paraId="7D3817CE">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0209AFCB">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287A0ADB">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686C0D6">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6B00D6B6">
            <w:pPr>
              <w:spacing w:line="240" w:lineRule="auto"/>
              <w:jc w:val="center"/>
              <w:rPr>
                <w:szCs w:val="21"/>
                <w:lang w:val="en-US"/>
              </w:rPr>
            </w:pPr>
            <w:r>
              <w:t>4.0</w:t>
            </w:r>
            <w:bookmarkEnd w:id="9"/>
          </w:p>
        </w:tc>
      </w:tr>
      <w:tr w14:paraId="40C2A0E8">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1C1D067B">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7AA07FD">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7260ABB">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67CC8BC9">
            <w:pPr>
              <w:spacing w:line="240" w:lineRule="auto"/>
              <w:jc w:val="center"/>
              <w:rPr>
                <w:szCs w:val="21"/>
                <w:lang w:val="en-US"/>
              </w:rPr>
            </w:pPr>
            <w:r>
              <w:t>2.0</w:t>
            </w:r>
            <w:bookmarkEnd w:id="10"/>
          </w:p>
        </w:tc>
      </w:tr>
    </w:tbl>
    <w:p w14:paraId="62F1B407">
      <w:pPr>
        <w:rPr>
          <w:szCs w:val="21"/>
          <w:lang w:val="en-US"/>
        </w:rPr>
      </w:pPr>
    </w:p>
    <w:p w14:paraId="55074DF9">
      <w:pPr>
        <w:jc w:val="center"/>
      </w:pPr>
      <w:r>
        <w:drawing>
          <wp:inline distT="0" distB="0" distL="0" distR="0">
            <wp:extent cx="5667375" cy="339090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5"/>
                    <a:stretch>
                      <a:fillRect/>
                    </a:stretch>
                  </pic:blipFill>
                  <pic:spPr>
                    <a:xfrm>
                      <a:off x="0" y="0"/>
                      <a:ext cx="5667375" cy="3390900"/>
                    </a:xfrm>
                    <a:prstGeom prst="rect">
                      <a:avLst/>
                    </a:prstGeom>
                  </pic:spPr>
                </pic:pic>
              </a:graphicData>
            </a:graphic>
          </wp:inline>
        </w:drawing>
      </w:r>
    </w:p>
    <w:p w14:paraId="7D7A2107">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网格图-夏季</w:t>
      </w:r>
    </w:p>
    <w:p w14:paraId="2CA55103">
      <w:pPr>
        <w:pStyle w:val="3"/>
        <w:ind w:firstLine="630" w:firstLineChars="300"/>
        <w:rPr>
          <w:rFonts w:ascii="黑体" w:hAnsi="黑体" w:eastAsia="黑体"/>
          <w:szCs w:val="20"/>
          <w:lang w:val="en-US"/>
        </w:rPr>
      </w:pPr>
      <w:bookmarkStart w:id="61" w:name="网格划分信息"/>
      <w:bookmarkEnd w:id="61"/>
      <w:r>
        <w:rPr>
          <w:rFonts w:hint="eastAsia" w:ascii="黑体" w:hAnsi="黑体" w:eastAsia="黑体"/>
          <w:szCs w:val="20"/>
          <w:lang w:val="en-US"/>
        </w:rPr>
        <w:t>注：前述计算域随风向不同，所以相同的网格方案会产生不同的网格数量。</w:t>
      </w:r>
    </w:p>
    <w:bookmarkEnd w:id="50"/>
    <w:p w14:paraId="44FA5CAA">
      <w:pPr>
        <w:pStyle w:val="3"/>
        <w:ind w:firstLine="0" w:firstLineChars="0"/>
        <w:rPr>
          <w:rFonts w:ascii="黑体" w:hAnsi="黑体" w:eastAsia="黑体"/>
          <w:szCs w:val="20"/>
          <w:lang w:val="en-US"/>
        </w:rPr>
      </w:pPr>
    </w:p>
    <w:p w14:paraId="00E7EB03">
      <w:pPr>
        <w:pStyle w:val="4"/>
        <w:numPr>
          <w:ilvl w:val="1"/>
          <w:numId w:val="3"/>
        </w:numPr>
      </w:pPr>
      <w:bookmarkStart w:id="62" w:name="_Toc509844742"/>
      <w:bookmarkStart w:id="63" w:name="_Toc26450"/>
      <w:r>
        <w:rPr>
          <w:rFonts w:hint="eastAsia"/>
        </w:rPr>
        <w:t>边界条件</w:t>
      </w:r>
      <w:bookmarkEnd w:id="62"/>
      <w:bookmarkEnd w:id="63"/>
    </w:p>
    <w:p w14:paraId="75A8A963">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188F92C9">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14:paraId="5588B40B">
      <w:pPr>
        <w:pStyle w:val="3"/>
        <w:ind w:firstLine="405" w:firstLineChars="193"/>
      </w:pPr>
      <w:r>
        <w:rPr>
          <w:rFonts w:hint="eastAsia"/>
          <w:lang w:val="en-US"/>
        </w:rPr>
        <w:t>上图展示了计算域中风场边界的类型，本小节将给出不同边界的边界条件。</w:t>
      </w:r>
    </w:p>
    <w:p w14:paraId="49FFD79A">
      <w:pPr>
        <w:pStyle w:val="5"/>
      </w:pPr>
      <w:bookmarkStart w:id="64" w:name="_Toc509844743"/>
      <w:bookmarkStart w:id="65" w:name="_Toc20098"/>
      <w:r>
        <w:rPr>
          <w:rFonts w:hint="eastAsia"/>
        </w:rPr>
        <w:t>入口与出口边界条件</w:t>
      </w:r>
      <w:bookmarkEnd w:id="64"/>
      <w:bookmarkEnd w:id="65"/>
    </w:p>
    <w:p w14:paraId="021AE11C">
      <w:pPr>
        <w:rPr>
          <w:rFonts w:ascii="黑体" w:hAnsi="黑体" w:eastAsia="黑体"/>
          <w:sz w:val="24"/>
          <w:szCs w:val="24"/>
        </w:rPr>
      </w:pPr>
      <w:r>
        <w:rPr>
          <w:rFonts w:hint="eastAsia" w:ascii="黑体" w:hAnsi="黑体" w:eastAsia="黑体"/>
          <w:sz w:val="24"/>
          <w:szCs w:val="24"/>
        </w:rPr>
        <w:t>1）入口风速梯度</w:t>
      </w:r>
    </w:p>
    <w:p w14:paraId="02A4843F">
      <w:pPr>
        <w:pStyle w:val="3"/>
        <w:ind w:firstLine="420"/>
        <w:rPr>
          <w:lang w:val="en-US"/>
        </w:rPr>
      </w:pPr>
      <w:r>
        <w:rPr>
          <w:rFonts w:hint="eastAsia"/>
          <w:lang w:val="en-US"/>
        </w:rPr>
        <w:t>本项目中，入口边界条件主要包括不同工况下的风速和风向数据，其中入口风速采用下列梯度风：</w:t>
      </w:r>
    </w:p>
    <w:p w14:paraId="3CEAEF57">
      <w:pPr>
        <w:pStyle w:val="3"/>
        <w:ind w:firstLine="420"/>
        <w:jc w:val="right"/>
        <w:rPr>
          <w:lang w:val="en-US"/>
        </w:rPr>
      </w:pPr>
      <w:r>
        <w:rPr>
          <w:position w:val="-32"/>
          <w:lang w:val="en-US"/>
        </w:rPr>
        <w:object>
          <v:shape id="_x0000_i1025" o:spt="75" type="#_x0000_t75" style="height:41.15pt;width:70.8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14:paraId="15EBD4BE">
      <w:pPr>
        <w:pStyle w:val="3"/>
        <w:ind w:firstLine="0" w:firstLineChars="0"/>
        <w:rPr>
          <w:lang w:val="en-US"/>
        </w:rPr>
      </w:pPr>
      <w:r>
        <w:rPr>
          <w:rFonts w:hint="eastAsia"/>
          <w:lang w:val="en-US"/>
        </w:rPr>
        <w:t>式中：</w:t>
      </w:r>
    </w:p>
    <w:p w14:paraId="0734149F">
      <w:pPr>
        <w:pStyle w:val="3"/>
        <w:ind w:firstLine="0" w:firstLineChars="0"/>
        <w:rPr>
          <w:lang w:val="en-US"/>
        </w:rPr>
      </w:pPr>
      <w:r>
        <w:rPr>
          <w:i/>
          <w:sz w:val="24"/>
          <w:lang w:val="en-US"/>
        </w:rPr>
        <w:t>v, z</w:t>
      </w:r>
      <w:r>
        <w:rPr>
          <w:rFonts w:hint="eastAsia"/>
          <w:lang w:val="en-US"/>
        </w:rPr>
        <w:t>——任何一点的平均风速和高度；</w:t>
      </w:r>
    </w:p>
    <w:p w14:paraId="257B0EAF">
      <w:pPr>
        <w:pStyle w:val="3"/>
        <w:ind w:firstLine="0" w:firstLineChars="0"/>
        <w:rPr>
          <w:lang w:val="en-US"/>
        </w:rPr>
      </w:pPr>
      <w:r>
        <w:rPr>
          <w:lang w:val="en-US"/>
        </w:rPr>
        <w:object>
          <v:shape id="_x0000_i1026" o:spt="75" type="#_x0000_t75" style="height:18.75pt;width:15.1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3.3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305F60D5">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6" w:name="地面粗糙度指数2"/>
      <w:r>
        <w:rPr>
          <w:rFonts w:hint="eastAsia"/>
          <w:lang w:val="en-US"/>
        </w:rPr>
        <w:t>0.22</w:t>
      </w:r>
      <w:bookmarkEnd w:id="66"/>
      <w:r>
        <w:rPr>
          <w:rFonts w:hint="eastAsia"/>
          <w:lang w:val="en-US"/>
        </w:rPr>
        <w:t>；</w:t>
      </w:r>
    </w:p>
    <w:p w14:paraId="143D74DE">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14:paraId="19FD4E3D">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14:paraId="47FF71BE">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14:paraId="127800C8">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14:paraId="10DC5DF1">
            <w:pPr>
              <w:jc w:val="center"/>
              <w:rPr>
                <w:rFonts w:ascii="宋体" w:hAnsi="宋体" w:cs="宋体"/>
                <w:b/>
                <w:bCs/>
                <w:szCs w:val="21"/>
              </w:rPr>
            </w:pPr>
            <w:r>
              <w:rPr>
                <w:rFonts w:hint="eastAsia" w:ascii="宋体" w:hAnsi="宋体" w:cs="宋体"/>
                <w:b/>
                <w:bCs/>
                <w:szCs w:val="21"/>
              </w:rPr>
              <w:t>地面粗糙度指数</w:t>
            </w:r>
          </w:p>
        </w:tc>
      </w:tr>
      <w:tr w14:paraId="2B23BF9F">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14:paraId="1E2E757F">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14:paraId="42B263B8">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14:paraId="39EF267A">
            <w:pPr>
              <w:jc w:val="center"/>
              <w:rPr>
                <w:rFonts w:ascii="宋体" w:hAnsi="宋体" w:cs="宋体"/>
                <w:szCs w:val="21"/>
              </w:rPr>
            </w:pPr>
            <w:r>
              <w:rPr>
                <w:rFonts w:hint="eastAsia" w:ascii="宋体" w:hAnsi="宋体" w:cs="宋体"/>
                <w:szCs w:val="21"/>
              </w:rPr>
              <w:t>0.14</w:t>
            </w:r>
          </w:p>
        </w:tc>
      </w:tr>
      <w:tr w14:paraId="7B55972D">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14:paraId="06ED2F72">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4D087EC7">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14:paraId="4FC1B980">
            <w:pPr>
              <w:jc w:val="center"/>
              <w:rPr>
                <w:rFonts w:ascii="宋体" w:hAnsi="宋体" w:cs="宋体"/>
                <w:szCs w:val="21"/>
              </w:rPr>
            </w:pPr>
            <w:r>
              <w:rPr>
                <w:rFonts w:hint="eastAsia" w:ascii="宋体" w:hAnsi="宋体" w:cs="宋体"/>
                <w:szCs w:val="21"/>
              </w:rPr>
              <w:t>0.22</w:t>
            </w:r>
          </w:p>
        </w:tc>
      </w:tr>
      <w:tr w14:paraId="5FE756E3">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14:paraId="1DA74807">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71611802">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14:paraId="4FDA8B42">
            <w:pPr>
              <w:jc w:val="center"/>
              <w:rPr>
                <w:rFonts w:ascii="宋体" w:hAnsi="宋体" w:cs="宋体"/>
                <w:szCs w:val="21"/>
              </w:rPr>
            </w:pPr>
            <w:r>
              <w:rPr>
                <w:rFonts w:hint="eastAsia" w:ascii="宋体" w:hAnsi="宋体" w:cs="宋体"/>
                <w:szCs w:val="21"/>
              </w:rPr>
              <w:t>0.28</w:t>
            </w:r>
          </w:p>
        </w:tc>
      </w:tr>
    </w:tbl>
    <w:p w14:paraId="4A54ACFC">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14:paraId="0EF4FE03">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14:paraId="4E6805B3">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14:paraId="112C5F5A">
      <w:pPr>
        <w:pStyle w:val="5"/>
      </w:pPr>
      <w:bookmarkStart w:id="67" w:name="_Toc509844744"/>
      <w:bookmarkStart w:id="68" w:name="_Toc28218"/>
      <w:r>
        <w:rPr>
          <w:rFonts w:hint="eastAsia"/>
        </w:rPr>
        <w:t>壁面边界条件</w:t>
      </w:r>
      <w:bookmarkEnd w:id="67"/>
      <w:bookmarkEnd w:id="68"/>
    </w:p>
    <w:p w14:paraId="7D6F60FA">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14:paraId="2F0B409B">
      <w:r>
        <w:rPr>
          <w:rFonts w:hint="eastAsia"/>
        </w:rPr>
        <w:t xml:space="preserve"> </w:t>
      </w:r>
      <w:r>
        <w:t xml:space="preserve"> </w:t>
      </w:r>
      <w:r>
        <w:rPr>
          <w:rFonts w:hint="eastAsia"/>
        </w:rPr>
        <w:t xml:space="preserve">  风场的地面边界设定为无滑移壁面，空气流动要受到地面摩擦力的影响。</w:t>
      </w:r>
    </w:p>
    <w:p w14:paraId="7A2A9955">
      <w:pPr>
        <w:pStyle w:val="4"/>
        <w:numPr>
          <w:ilvl w:val="1"/>
          <w:numId w:val="3"/>
        </w:numPr>
      </w:pPr>
      <w:bookmarkStart w:id="69" w:name="_Toc22765"/>
      <w:r>
        <w:rPr>
          <w:rFonts w:hint="eastAsia"/>
        </w:rPr>
        <w:t>湍流模型</w:t>
      </w:r>
      <w:bookmarkEnd w:id="37"/>
      <w:bookmarkEnd w:id="38"/>
      <w:bookmarkEnd w:id="69"/>
    </w:p>
    <w:p w14:paraId="56FA312E">
      <w:pPr>
        <w:pStyle w:val="3"/>
        <w:ind w:firstLine="420"/>
      </w:pPr>
      <w:r>
        <w:rPr>
          <w:rFonts w:hint="eastAsia"/>
        </w:rPr>
        <w:t>湍流模型反映了流体流动的状态，在流体力学数值模拟中，不同的流体流动应该选择合适的湍流模型才会最大限度模拟出真实的流场数值。</w:t>
      </w:r>
    </w:p>
    <w:p w14:paraId="631E70D2">
      <w:pPr>
        <w:pStyle w:val="3"/>
        <w:ind w:firstLine="420"/>
      </w:pPr>
      <w:r>
        <w:rPr>
          <w:rFonts w:hint="eastAsia"/>
        </w:rPr>
        <w:t>本项目依据《绿色建筑评价技术细则》推荐的标准k-ε湍流模型进行室外流场计算。</w:t>
      </w:r>
    </w:p>
    <w:p w14:paraId="3EA42282">
      <w:pPr>
        <w:pStyle w:val="3"/>
        <w:ind w:firstLine="420"/>
      </w:pPr>
      <w:r>
        <w:rPr>
          <w:rFonts w:hint="eastAsia"/>
        </w:rPr>
        <w:t>下表为几种工程流体中常见的湍流模型适用性：</w:t>
      </w:r>
    </w:p>
    <w:p w14:paraId="4EF8B814">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14:paraId="5135132F">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618713B7">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0BAF8C56">
            <w:pPr>
              <w:jc w:val="center"/>
              <w:rPr>
                <w:rFonts w:ascii="宋体" w:hAnsi="宋体" w:cs="宋体"/>
                <w:b/>
                <w:bCs/>
                <w:szCs w:val="21"/>
              </w:rPr>
            </w:pPr>
            <w:r>
              <w:rPr>
                <w:rFonts w:hint="eastAsia" w:ascii="宋体" w:hAnsi="宋体" w:cs="宋体"/>
                <w:b/>
                <w:bCs/>
                <w:szCs w:val="21"/>
              </w:rPr>
              <w:t>特点和适用工况</w:t>
            </w:r>
          </w:p>
        </w:tc>
      </w:tr>
      <w:tr w14:paraId="6194DD36">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5B04A76D">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79F634B3">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14:paraId="7CEB4442">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577BF9EB">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49FEBF31">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231DC367">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6AE45E8E">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5211688">
            <w:pPr>
              <w:rPr>
                <w:rFonts w:ascii="宋体" w:hAnsi="宋体" w:cs="宋体"/>
                <w:szCs w:val="21"/>
              </w:rPr>
            </w:pPr>
            <w:r>
              <w:rPr>
                <w:rFonts w:hint="eastAsia" w:ascii="宋体" w:hAnsi="宋体" w:cs="宋体"/>
                <w:szCs w:val="21"/>
              </w:rPr>
              <w:t>旋转流动、强逆压梯度的边界层流动、流动分离和二次流，类似于RNG。</w:t>
            </w:r>
          </w:p>
        </w:tc>
      </w:tr>
    </w:tbl>
    <w:p w14:paraId="0554E114">
      <w:pPr>
        <w:pStyle w:val="4"/>
        <w:numPr>
          <w:ilvl w:val="1"/>
          <w:numId w:val="3"/>
        </w:numPr>
      </w:pPr>
      <w:bookmarkStart w:id="70" w:name="_Toc451698939"/>
      <w:bookmarkStart w:id="71" w:name="_Toc452108767"/>
      <w:bookmarkStart w:id="72" w:name="_Toc7729"/>
      <w:r>
        <w:rPr>
          <w:rFonts w:hint="eastAsia"/>
        </w:rPr>
        <w:t>求解计算</w:t>
      </w:r>
      <w:bookmarkEnd w:id="70"/>
      <w:bookmarkEnd w:id="71"/>
      <w:bookmarkEnd w:id="72"/>
    </w:p>
    <w:p w14:paraId="37006857">
      <w:pPr>
        <w:pStyle w:val="3"/>
        <w:numPr>
          <w:ilvl w:val="0"/>
          <w:numId w:val="5"/>
        </w:numPr>
        <w:ind w:firstLineChars="0"/>
        <w:rPr>
          <w:b/>
          <w:lang w:val="en-US"/>
        </w:rPr>
      </w:pPr>
      <w:r>
        <w:rPr>
          <w:rFonts w:hint="eastAsia"/>
          <w:b/>
          <w:lang w:val="en-US"/>
        </w:rPr>
        <w:t>数学模型</w:t>
      </w:r>
    </w:p>
    <w:p w14:paraId="44006809">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10173CF5">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2CF4E00F">
      <w:pPr>
        <w:pStyle w:val="3"/>
        <w:ind w:firstLine="525" w:firstLineChars="250"/>
        <w:rPr>
          <w:lang w:val="en-US"/>
        </w:rPr>
      </w:pPr>
      <w:r>
        <w:rPr>
          <w:rFonts w:hint="eastAsia"/>
          <w:lang w:val="en-US"/>
        </w:rPr>
        <w:t>该式中的φ可以是速度、湍流动能、湍流耗散率以及温度等物理量，参照下表</w:t>
      </w:r>
    </w:p>
    <w:p w14:paraId="46F170B2">
      <w:pPr>
        <w:pStyle w:val="3"/>
        <w:ind w:firstLine="0" w:firstLineChars="0"/>
        <w:jc w:val="center"/>
        <w:rPr>
          <w:rFonts w:ascii="黑体" w:hAnsi="黑体" w:eastAsia="黑体"/>
          <w:sz w:val="20"/>
          <w:szCs w:val="20"/>
        </w:rPr>
      </w:pPr>
      <w:bookmarkStart w:id="73"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3"/>
      <w:r>
        <w:rPr>
          <w:rFonts w:hint="eastAsia" w:ascii="黑体" w:hAnsi="黑体" w:eastAsia="黑体"/>
          <w:sz w:val="20"/>
          <w:szCs w:val="20"/>
        </w:rPr>
        <w:t xml:space="preserve"> </w:t>
      </w:r>
      <w:bookmarkStart w:id="74" w:name="_Ref225175618"/>
      <w:r>
        <w:rPr>
          <w:rFonts w:hint="eastAsia" w:ascii="黑体" w:hAnsi="黑体" w:eastAsia="黑体"/>
          <w:sz w:val="20"/>
          <w:szCs w:val="20"/>
        </w:rPr>
        <w:t>计算流体力学的控制方程</w:t>
      </w:r>
      <w:bookmarkEnd w:id="74"/>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14:paraId="0E383D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14:paraId="54A298B8">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14:paraId="464FA71F">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5465F025">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61D58545">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47A3AD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3F3EC143">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14:paraId="7EA93FDE">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161E0F08">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3E222811">
            <w:pPr>
              <w:widowControl w:val="0"/>
              <w:jc w:val="both"/>
              <w:rPr>
                <w:rFonts w:cs="Calibri"/>
                <w:kern w:val="2"/>
                <w:szCs w:val="24"/>
              </w:rPr>
            </w:pPr>
            <w:r>
              <w:rPr>
                <w:szCs w:val="24"/>
              </w:rPr>
              <w:t>0</w:t>
            </w:r>
          </w:p>
        </w:tc>
      </w:tr>
      <w:tr w14:paraId="6266D9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0D09DF29">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79E0BE1E">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79664D5">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A37F086">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7C44E3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6C08952F">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677E5C1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154B9F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67DA13F">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1831A4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28B797EE">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24A4F6DB">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3AF773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7386243">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18B6F5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3B3335D9">
            <w:pPr>
              <w:rPr>
                <w:rFonts w:cs="Calibri"/>
                <w:kern w:val="2"/>
                <w:szCs w:val="24"/>
              </w:rPr>
            </w:pPr>
            <w:r>
              <w:rPr>
                <w:rFonts w:hint="eastAsia"/>
                <w:szCs w:val="24"/>
              </w:rPr>
              <w:t>湍流</w:t>
            </w:r>
          </w:p>
          <w:p w14:paraId="4602BF80">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14:paraId="44B5D80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866CFD9">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8CD4D96">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4D8627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12FAD1C3">
            <w:pPr>
              <w:rPr>
                <w:rFonts w:cs="Calibri"/>
                <w:kern w:val="2"/>
                <w:szCs w:val="24"/>
              </w:rPr>
            </w:pPr>
            <w:r>
              <w:rPr>
                <w:rFonts w:hint="eastAsia"/>
                <w:szCs w:val="24"/>
              </w:rPr>
              <w:t>湍流</w:t>
            </w:r>
          </w:p>
          <w:p w14:paraId="5BF76D5A">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14:paraId="0D72F707">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1CB802C">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4CA6DD3">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02F983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14:paraId="5DE428B7">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14:paraId="4F36A825">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530092ED">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2F36FC02">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60E57CDB">
      <w:pPr>
        <w:pStyle w:val="3"/>
        <w:ind w:firstLine="525" w:firstLineChars="250"/>
        <w:rPr>
          <w:lang w:val="en-US"/>
        </w:rPr>
      </w:pPr>
      <w:r>
        <w:rPr>
          <w:rFonts w:hint="eastAsia"/>
          <w:lang w:val="en-US"/>
        </w:rPr>
        <w:t>上表中的常数如下：</w:t>
      </w:r>
    </w:p>
    <w:p w14:paraId="3F269A6A">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040C6E3E">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0E3C143B">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27F7E17F">
      <w:pPr>
        <w:pStyle w:val="3"/>
        <w:numPr>
          <w:ilvl w:val="0"/>
          <w:numId w:val="5"/>
        </w:numPr>
        <w:ind w:firstLineChars="0"/>
        <w:rPr>
          <w:b/>
          <w:lang w:val="en-US"/>
        </w:rPr>
      </w:pPr>
      <w:r>
        <w:rPr>
          <w:rFonts w:hint="eastAsia"/>
          <w:b/>
          <w:lang w:val="en-US"/>
        </w:rPr>
        <w:t>算法说明</w:t>
      </w:r>
    </w:p>
    <w:p w14:paraId="3C19E4A7">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9"/>
    </w:p>
    <w:p w14:paraId="59015175">
      <w:pPr>
        <w:pStyle w:val="4"/>
      </w:pPr>
      <w:bookmarkStart w:id="75" w:name="_Toc509844747"/>
      <w:bookmarkStart w:id="76" w:name="_Toc21889"/>
      <w:r>
        <w:rPr>
          <w:rFonts w:hint="eastAsia"/>
        </w:rPr>
        <w:t>风速放大系数计算</w:t>
      </w:r>
      <w:bookmarkEnd w:id="75"/>
      <w:bookmarkEnd w:id="76"/>
    </w:p>
    <w:p w14:paraId="099D1D8B">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14:paraId="06BB3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14:paraId="0680AA2A">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14:paraId="702D81C4">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14:paraId="50F1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14:paraId="49D792F1">
            <w:pPr>
              <w:rPr>
                <w:lang w:val="en-US"/>
              </w:rPr>
            </w:pPr>
          </w:p>
        </w:tc>
        <w:tc>
          <w:tcPr>
            <w:tcW w:w="1832" w:type="dxa"/>
            <w:vAlign w:val="center"/>
          </w:tcPr>
          <w:p w14:paraId="383BBEED">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14:paraId="676B9781">
      <w:pPr>
        <w:pStyle w:val="3"/>
        <w:ind w:firstLine="420"/>
        <w:rPr>
          <w:lang w:val="en-US"/>
        </w:rPr>
      </w:pPr>
      <w:r>
        <w:rPr>
          <w:rFonts w:hint="eastAsia"/>
          <w:lang w:val="en-US"/>
        </w:rPr>
        <w:t>其中：</w:t>
      </w:r>
    </w:p>
    <w:p w14:paraId="0CE77C11">
      <w:pPr>
        <w:pStyle w:val="3"/>
        <w:ind w:firstLine="420"/>
      </w:pPr>
      <w:r>
        <w:rPr>
          <w:position w:val="-6"/>
        </w:rPr>
        <w:object>
          <v:shape id="_x0000_i1028" o:spt="75" type="#_x0000_t75" style="height:13.3pt;width:12.7pt;" o:ole="t" filled="f" o:preferrelative="t" stroked="f" coordsize="21600,21600">
            <v:path/>
            <v:fill on="f" focussize="0,0"/>
            <v:stroke on="f" joinstyle="miter"/>
            <v:imagedata r:id="rId64" o:title=""/>
            <o:lock v:ext="edit" aspectratio="t"/>
            <w10:wrap type="none"/>
            <w10:anchorlock/>
          </v:shape>
          <o:OLEObject Type="Embed" ProgID="Equation.3" ShapeID="_x0000_i1028" DrawAspect="Content" ObjectID="_1468075728" r:id="rId63">
            <o:LockedField>false</o:LockedField>
          </o:OLEObject>
        </w:object>
      </w:r>
      <w:r>
        <w:rPr>
          <w:rFonts w:hint="eastAsia"/>
        </w:rPr>
        <w:t>——风速放大系数；</w:t>
      </w:r>
    </w:p>
    <w:p w14:paraId="4491D259">
      <w:pPr>
        <w:pStyle w:val="3"/>
        <w:ind w:firstLine="420"/>
        <w:rPr>
          <w:lang w:val="en-US"/>
        </w:rPr>
      </w:pPr>
      <w:r>
        <w:rPr>
          <w:position w:val="-10"/>
        </w:rPr>
        <w:object>
          <v:shape id="_x0000_i1029" o:spt="75" type="#_x0000_t75" style="height:18.75pt;width:23pt;" o:ole="t" filled="f" o:preferrelative="t" stroked="f" coordsize="21600,21600">
            <v:path/>
            <v:fill on="f" focussize="0,0"/>
            <v:stroke on="f" joinstyle="miter"/>
            <v:imagedata r:id="rId66" o:title=""/>
            <o:lock v:ext="edit" aspectratio="t"/>
            <w10:wrap type="none"/>
            <w10:anchorlock/>
          </v:shape>
          <o:OLEObject Type="Embed" ProgID="Equation.3" ShapeID="_x0000_i1029" DrawAspect="Content" ObjectID="_1468075729" r:id="rId65">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14:paraId="35802A3F">
      <w:pPr>
        <w:pStyle w:val="3"/>
        <w:ind w:firstLine="420"/>
        <w:rPr>
          <w:lang w:val="en-US"/>
        </w:rPr>
      </w:pPr>
      <w:r>
        <w:rPr>
          <w:position w:val="-14"/>
        </w:rPr>
        <w:object>
          <v:shape id="_x0000_i1030" o:spt="75" type="#_x0000_t75" style="height:19.35pt;width:23pt;" o:ole="t" filled="f" o:preferrelative="t" stroked="f" coordsize="21600,21600">
            <v:path/>
            <v:fill on="f" focussize="0,0"/>
            <v:stroke on="f" joinstyle="miter"/>
            <v:imagedata r:id="rId68" o:title=""/>
            <o:lock v:ext="edit" aspectratio="t"/>
            <w10:wrap type="none"/>
            <w10:anchorlock/>
          </v:shape>
          <o:OLEObject Type="Embed" ProgID="Equation.3" ShapeID="_x0000_i1030" DrawAspect="Content" ObjectID="_1468075730" r:id="rId67">
            <o:LockedField>false</o:LockedField>
          </o:OLEObject>
        </w:object>
      </w:r>
      <w:r>
        <w:rPr>
          <w:rFonts w:hint="eastAsia"/>
        </w:rPr>
        <w:t>——远离建筑的开阔区域，距离地面1.5米高度处风速</w:t>
      </w:r>
      <w:r>
        <w:rPr>
          <w:rFonts w:hint="eastAsia"/>
          <w:lang w:val="en-US"/>
        </w:rPr>
        <w:t>。</w:t>
      </w:r>
    </w:p>
    <w:p w14:paraId="02779B40">
      <w:pPr>
        <w:pStyle w:val="3"/>
        <w:ind w:firstLine="420"/>
        <w:rPr>
          <w:lang w:val="en-US"/>
        </w:rPr>
      </w:pPr>
      <w:r>
        <w:rPr>
          <w:position w:val="-14"/>
        </w:rPr>
        <w:object>
          <v:shape id="_x0000_i1031" o:spt="75" type="#_x0000_t75" style="height:19.35pt;width:19.35pt;" o:ole="t" filled="f" o:preferrelative="t" stroked="f" coordsize="21600,21600">
            <v:path/>
            <v:fill on="f" focussize="0,0"/>
            <v:stroke on="f" joinstyle="miter"/>
            <v:imagedata r:id="rId70" o:title=""/>
            <o:lock v:ext="edit" aspectratio="t"/>
            <w10:wrap type="none"/>
            <w10:anchorlock/>
          </v:shape>
          <o:OLEObject Type="Embed" ProgID="Equation.3" ShapeID="_x0000_i1031" DrawAspect="Content" ObjectID="_1468075731" r:id="rId69">
            <o:LockedField>false</o:LockedField>
          </o:OLEObject>
        </w:object>
      </w:r>
      <w:r>
        <w:rPr>
          <w:rFonts w:hint="eastAsia"/>
        </w:rPr>
        <w:t>——远离建筑的开阔区域，距离地面10米高度处风速，此处取室外风场入口边界风速</w:t>
      </w:r>
      <w:r>
        <w:rPr>
          <w:rFonts w:hint="eastAsia"/>
          <w:lang w:val="en-US"/>
        </w:rPr>
        <w:t>。</w:t>
      </w:r>
    </w:p>
    <w:p w14:paraId="504C669E">
      <w:pPr>
        <w:pStyle w:val="3"/>
        <w:ind w:firstLine="420"/>
        <w:rPr>
          <w:lang w:val="en-US"/>
        </w:rPr>
      </w:pPr>
      <w:r>
        <w:rPr>
          <w:i/>
          <w:lang w:val="en-US"/>
        </w:rPr>
        <w:t>a</w:t>
      </w:r>
      <w:r>
        <w:rPr>
          <w:rFonts w:hint="eastAsia"/>
          <w:lang w:val="en-US"/>
        </w:rPr>
        <w:t>——地面粗糙度指数，</w:t>
      </w:r>
      <w:r>
        <w:rPr>
          <w:lang w:val="en-US"/>
        </w:rPr>
        <w:t>本项目为</w:t>
      </w:r>
      <w:bookmarkStart w:id="77" w:name="地面粗糙度指数"/>
      <w:r>
        <w:rPr>
          <w:rFonts w:hint="eastAsia"/>
          <w:lang w:val="en-US"/>
        </w:rPr>
        <w:t>0.22</w:t>
      </w:r>
      <w:bookmarkEnd w:id="77"/>
      <w:r>
        <w:rPr>
          <w:rFonts w:hint="eastAsia"/>
          <w:lang w:val="en-US"/>
        </w:rPr>
        <w:t>；</w:t>
      </w:r>
    </w:p>
    <w:p w14:paraId="648C64CA">
      <w:pPr>
        <w:pStyle w:val="3"/>
        <w:ind w:firstLine="420"/>
        <w:rPr>
          <w:lang w:val="en-US"/>
        </w:rPr>
      </w:pPr>
    </w:p>
    <w:p w14:paraId="78025690">
      <w:pPr>
        <w:pStyle w:val="2"/>
        <w:sectPr>
          <w:pgSz w:w="11906" w:h="16838"/>
          <w:pgMar w:top="1440" w:right="1133" w:bottom="993" w:left="1701" w:header="794" w:footer="170" w:gutter="0"/>
          <w:cols w:space="720" w:num="1"/>
          <w:docGrid w:type="lines" w:linePitch="312" w:charSpace="0"/>
        </w:sectPr>
      </w:pPr>
    </w:p>
    <w:p w14:paraId="4E2BB5C2">
      <w:pPr>
        <w:pStyle w:val="2"/>
      </w:pPr>
      <w:bookmarkStart w:id="78" w:name="_Toc452108768"/>
      <w:bookmarkStart w:id="79" w:name="_Toc30850"/>
      <w:r>
        <w:rPr>
          <w:rFonts w:hint="eastAsia"/>
        </w:rPr>
        <w:t>结果</w:t>
      </w:r>
      <w:r>
        <w:t>分析</w:t>
      </w:r>
      <w:bookmarkEnd w:id="78"/>
      <w:bookmarkEnd w:id="79"/>
    </w:p>
    <w:p w14:paraId="2A83A537">
      <w:pPr>
        <w:pStyle w:val="4"/>
        <w:rPr>
          <w:szCs w:val="21"/>
        </w:rPr>
      </w:pPr>
      <w:bookmarkStart w:id="80" w:name="_Toc14052"/>
      <w:r>
        <w:rPr>
          <w:rFonts w:hint="eastAsia"/>
          <w:szCs w:val="21"/>
        </w:rPr>
        <w:t>工况</w:t>
      </w:r>
      <w:r>
        <w:rPr>
          <w:szCs w:val="21"/>
        </w:rPr>
        <w:t>表</w:t>
      </w:r>
      <w:bookmarkEnd w:id="80"/>
    </w:p>
    <w:p w14:paraId="2ADC0CDA">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14:paraId="13710A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14:paraId="6FCD14C6">
            <w:pPr>
              <w:jc w:val="center"/>
              <w:rPr>
                <w:rFonts w:ascii="Calibri" w:hAnsi="Calibri"/>
                <w:szCs w:val="21"/>
              </w:rPr>
            </w:pPr>
            <w:bookmarkStart w:id="81"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14:paraId="3AAA815F">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14:paraId="31D0F45E">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14:paraId="14DCFF58">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14:paraId="0A5D089C">
            <w:pPr>
              <w:jc w:val="center"/>
              <w:rPr>
                <w:rFonts w:ascii="Calibri" w:hAnsi="Calibri"/>
                <w:szCs w:val="21"/>
              </w:rPr>
            </w:pPr>
            <w:r>
              <w:rPr>
                <w:rFonts w:hint="eastAsia" w:ascii="Calibri" w:hAnsi="Calibri"/>
                <w:szCs w:val="21"/>
              </w:rPr>
              <w:t>风向（°</w:t>
            </w:r>
            <w:r>
              <w:rPr>
                <w:rFonts w:ascii="Calibri" w:hAnsi="Calibri"/>
                <w:szCs w:val="21"/>
              </w:rPr>
              <w:t>）</w:t>
            </w:r>
          </w:p>
        </w:tc>
      </w:tr>
      <w:tr w14:paraId="164C52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14:paraId="10236CFF">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4" w:space="0"/>
              <w:right w:val="single" w:color="auto" w:sz="4" w:space="0"/>
            </w:tcBorders>
            <w:vAlign w:val="center"/>
          </w:tcPr>
          <w:p w14:paraId="50095BE2">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4" w:space="0"/>
              <w:right w:val="single" w:color="auto" w:sz="4" w:space="0"/>
            </w:tcBorders>
            <w:vAlign w:val="center"/>
          </w:tcPr>
          <w:p w14:paraId="6D928BCC">
            <w:pPr>
              <w:rPr>
                <w:rFonts w:ascii="Calibri" w:hAnsi="Calibri"/>
                <w:szCs w:val="21"/>
              </w:rPr>
            </w:pPr>
            <w:r>
              <w:rPr>
                <w:rFonts w:ascii="Calibri" w:hAnsi="Calibri"/>
                <w:szCs w:val="21"/>
              </w:rPr>
              <w:t>4.70</w:t>
            </w:r>
          </w:p>
        </w:tc>
        <w:tc>
          <w:tcPr>
            <w:tcW w:w="994" w:type="pct"/>
            <w:tcBorders>
              <w:top w:val="single" w:color="auto" w:sz="4" w:space="0"/>
              <w:left w:val="single" w:color="auto" w:sz="4" w:space="0"/>
              <w:bottom w:val="single" w:color="auto" w:sz="4" w:space="0"/>
              <w:right w:val="single" w:color="auto" w:sz="4" w:space="0"/>
            </w:tcBorders>
          </w:tcPr>
          <w:p w14:paraId="64A6EF27">
            <w:pPr>
              <w:rPr>
                <w:rFonts w:ascii="Calibri" w:hAnsi="Calibri"/>
                <w:szCs w:val="21"/>
              </w:rPr>
            </w:pPr>
            <w:r>
              <w:rPr>
                <w:rFonts w:ascii="Calibri" w:hAnsi="Calibri"/>
                <w:szCs w:val="21"/>
              </w:rPr>
              <w:t>N</w:t>
            </w:r>
          </w:p>
        </w:tc>
        <w:tc>
          <w:tcPr>
            <w:tcW w:w="994" w:type="pct"/>
            <w:tcBorders>
              <w:top w:val="single" w:color="auto" w:sz="4" w:space="0"/>
              <w:left w:val="single" w:color="auto" w:sz="4" w:space="0"/>
              <w:bottom w:val="single" w:color="auto" w:sz="4" w:space="0"/>
              <w:right w:val="single" w:color="auto" w:sz="12" w:space="0"/>
            </w:tcBorders>
          </w:tcPr>
          <w:p w14:paraId="07322F78">
            <w:pPr>
              <w:rPr>
                <w:rFonts w:ascii="Calibri" w:hAnsi="Calibri"/>
                <w:szCs w:val="21"/>
              </w:rPr>
            </w:pPr>
            <w:r>
              <w:rPr>
                <w:rFonts w:ascii="Calibri" w:hAnsi="Calibri"/>
                <w:szCs w:val="21"/>
              </w:rPr>
              <w:t>90.0</w:t>
            </w:r>
          </w:p>
        </w:tc>
      </w:tr>
      <w:tr w14:paraId="0EDBE0D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14:paraId="68BBC7B4">
            <w:pPr>
              <w:rPr>
                <w:rFonts w:ascii="Calibri" w:hAnsi="Calibri"/>
                <w:szCs w:val="21"/>
              </w:rPr>
            </w:pPr>
            <w:r>
              <w:rPr>
                <w:rFonts w:ascii="Calibri" w:hAnsi="Calibri"/>
                <w:szCs w:val="21"/>
              </w:rPr>
              <w:t>2</w:t>
            </w:r>
          </w:p>
        </w:tc>
        <w:tc>
          <w:tcPr>
            <w:tcW w:w="1166" w:type="pct"/>
            <w:tcBorders>
              <w:top w:val="single" w:color="auto" w:sz="4" w:space="0"/>
              <w:left w:val="single" w:color="auto" w:sz="4" w:space="0"/>
              <w:bottom w:val="single" w:color="auto" w:sz="12" w:space="0"/>
              <w:right w:val="single" w:color="auto" w:sz="4" w:space="0"/>
            </w:tcBorders>
            <w:vAlign w:val="center"/>
          </w:tcPr>
          <w:p w14:paraId="0DC90896">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12" w:space="0"/>
              <w:right w:val="single" w:color="auto" w:sz="4" w:space="0"/>
            </w:tcBorders>
            <w:vAlign w:val="center"/>
          </w:tcPr>
          <w:p w14:paraId="36FB01BE">
            <w:pPr>
              <w:rPr>
                <w:rFonts w:ascii="Calibri" w:hAnsi="Calibri"/>
                <w:szCs w:val="21"/>
              </w:rPr>
            </w:pPr>
            <w:r>
              <w:rPr>
                <w:rFonts w:ascii="Calibri" w:hAnsi="Calibri"/>
                <w:szCs w:val="21"/>
              </w:rPr>
              <w:t>3.00</w:t>
            </w:r>
          </w:p>
        </w:tc>
        <w:tc>
          <w:tcPr>
            <w:tcW w:w="994" w:type="pct"/>
            <w:tcBorders>
              <w:top w:val="single" w:color="auto" w:sz="4" w:space="0"/>
              <w:left w:val="single" w:color="auto" w:sz="4" w:space="0"/>
              <w:bottom w:val="single" w:color="auto" w:sz="12" w:space="0"/>
              <w:right w:val="single" w:color="auto" w:sz="4" w:space="0"/>
            </w:tcBorders>
          </w:tcPr>
          <w:p w14:paraId="76ABE2E7">
            <w:pPr>
              <w:rPr>
                <w:rFonts w:ascii="Calibri" w:hAnsi="Calibri"/>
                <w:szCs w:val="21"/>
              </w:rPr>
            </w:pPr>
            <w:r>
              <w:rPr>
                <w:rFonts w:ascii="Calibri" w:hAnsi="Calibri"/>
                <w:szCs w:val="21"/>
              </w:rPr>
              <w:t>SW</w:t>
            </w:r>
          </w:p>
        </w:tc>
        <w:tc>
          <w:tcPr>
            <w:tcW w:w="994" w:type="pct"/>
            <w:tcBorders>
              <w:top w:val="single" w:color="auto" w:sz="4" w:space="0"/>
              <w:left w:val="single" w:color="auto" w:sz="4" w:space="0"/>
              <w:bottom w:val="single" w:color="auto" w:sz="12" w:space="0"/>
              <w:right w:val="single" w:color="auto" w:sz="12" w:space="0"/>
            </w:tcBorders>
          </w:tcPr>
          <w:p w14:paraId="662EC95A">
            <w:pPr>
              <w:rPr>
                <w:rFonts w:ascii="Calibri" w:hAnsi="Calibri"/>
                <w:szCs w:val="21"/>
              </w:rPr>
            </w:pPr>
            <w:r>
              <w:rPr>
                <w:rFonts w:ascii="Calibri" w:hAnsi="Calibri"/>
                <w:szCs w:val="21"/>
              </w:rPr>
              <w:t>225.0</w:t>
            </w:r>
          </w:p>
        </w:tc>
      </w:tr>
      <w:bookmarkEnd w:id="81"/>
    </w:tbl>
    <w:p w14:paraId="690E1AF9">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14:paraId="1A1C11DF">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1"/>
                    <a:stretch>
                      <a:fillRect/>
                    </a:stretch>
                  </pic:blipFill>
                  <pic:spPr>
                    <a:xfrm>
                      <a:off x="0" y="0"/>
                      <a:ext cx="2736000" cy="2649600"/>
                    </a:xfrm>
                    <a:prstGeom prst="rect">
                      <a:avLst/>
                    </a:prstGeom>
                  </pic:spPr>
                </pic:pic>
              </a:graphicData>
            </a:graphic>
          </wp:inline>
        </w:drawing>
      </w:r>
    </w:p>
    <w:p w14:paraId="407DBD1B">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14:paraId="791D3427">
      <w:pPr>
        <w:pStyle w:val="4"/>
      </w:pPr>
      <w:bookmarkStart w:id="82" w:name="_Toc509844750"/>
      <w:bookmarkStart w:id="83" w:name="_Toc5198"/>
      <w:r>
        <w:rPr>
          <w:rFonts w:hint="eastAsia"/>
        </w:rPr>
        <w:t>冬季工况</w:t>
      </w:r>
      <w:bookmarkEnd w:id="82"/>
      <w:bookmarkEnd w:id="83"/>
    </w:p>
    <w:p w14:paraId="497E0E2A">
      <w:pPr>
        <w:ind w:firstLine="420" w:firstLineChars="200"/>
        <w:jc w:val="both"/>
      </w:pPr>
      <w:r>
        <w:rPr>
          <w:rFonts w:hint="eastAsia"/>
          <w:lang w:val="en-US"/>
        </w:rPr>
        <w:t>本项目冬季工况的入口边界风速为</w:t>
      </w:r>
      <w:bookmarkStart w:id="84" w:name="冬季入口边界风速"/>
      <w:r>
        <w:rPr>
          <w:rFonts w:hint="eastAsia" w:ascii="Calibri" w:hAnsi="Calibri"/>
          <w:szCs w:val="21"/>
        </w:rPr>
        <w:t>4.70</w:t>
      </w:r>
      <w:bookmarkEnd w:id="84"/>
      <w:r>
        <w:rPr>
          <w:rFonts w:ascii="Calibri" w:hAnsi="Calibri"/>
          <w:szCs w:val="21"/>
        </w:rPr>
        <w:t>m/s</w:t>
      </w:r>
      <w:r>
        <w:rPr>
          <w:rFonts w:hint="eastAsia" w:ascii="Calibri" w:hAnsi="Calibri"/>
          <w:szCs w:val="21"/>
        </w:rPr>
        <w:t>，风向为</w:t>
      </w:r>
      <w:bookmarkStart w:id="85" w:name="冬季入口边界风向"/>
      <w:r>
        <w:rPr>
          <w:szCs w:val="21"/>
        </w:rPr>
        <w:t>N</w:t>
      </w:r>
      <w:bookmarkEnd w:id="85"/>
      <w:r>
        <w:rPr>
          <w:rFonts w:hint="eastAsia"/>
          <w:szCs w:val="21"/>
        </w:rPr>
        <w:t>。</w:t>
      </w:r>
    </w:p>
    <w:p w14:paraId="413DDFC1">
      <w:pPr>
        <w:pStyle w:val="5"/>
      </w:pPr>
      <w:bookmarkStart w:id="86" w:name="_Toc509844751"/>
      <w:bookmarkStart w:id="87" w:name="_Toc28623"/>
      <w:r>
        <w:rPr>
          <w:rFonts w:hint="eastAsia"/>
        </w:rPr>
        <w:t>风速达标分析</w:t>
      </w:r>
      <w:bookmarkEnd w:id="86"/>
      <w:bookmarkEnd w:id="87"/>
      <w:r>
        <w:rPr>
          <w:rFonts w:hint="eastAsia"/>
        </w:rPr>
        <w:t xml:space="preserve"> </w:t>
      </w:r>
    </w:p>
    <w:p w14:paraId="03F553DF">
      <w:pPr>
        <w:pStyle w:val="3"/>
        <w:ind w:firstLine="420"/>
      </w:pPr>
      <w:r>
        <w:rPr>
          <w:rFonts w:hint="eastAsia"/>
          <w:lang w:val="en-US"/>
        </w:rPr>
        <w:t>下图为整个计算域内风速分布云图，参考图中速度分布可以对项目中建筑布局进行优化。计算域内建筑周围如果有风速超限区域，图中会用速度上限值为5m/s的黑色等值线标示。</w:t>
      </w:r>
    </w:p>
    <w:p w14:paraId="6A5ECE44">
      <w:pPr>
        <w:pStyle w:val="3"/>
        <w:ind w:firstLine="420"/>
        <w:rPr>
          <w:lang w:val="en-US"/>
        </w:rPr>
      </w:pPr>
      <w:r>
        <w:rPr>
          <w:rFonts w:hint="eastAsia"/>
          <w:lang w:val="en-US"/>
        </w:rPr>
        <w:t>分析下列图数据，</w:t>
      </w:r>
      <w:bookmarkStart w:id="88" w:name="冬季工况人行区风速分析结论"/>
      <w:bookmarkEnd w:id="88"/>
      <w:r>
        <w:rPr>
          <w:lang w:val="en-US"/>
        </w:rPr>
        <w:t>未标示出超标区域，可知人行区域风速为最大值为4.46m/s，小于5m/s，</w:t>
      </w:r>
      <w:r>
        <w:rPr>
          <w:color w:val="0000FF"/>
          <w:lang w:val="en-US"/>
        </w:rPr>
        <w:t>满足</w:t>
      </w:r>
      <w:r>
        <w:rPr>
          <w:lang w:val="en-US"/>
        </w:rPr>
        <w:t>绿标要求。</w:t>
      </w:r>
    </w:p>
    <w:p w14:paraId="6C5704C7">
      <w:pPr>
        <w:pStyle w:val="3"/>
        <w:ind w:left="-6" w:leftChars="-3" w:firstLine="4" w:firstLineChars="2"/>
        <w:jc w:val="center"/>
        <w:rPr>
          <w:rFonts w:ascii="Calibri Light" w:hAnsi="Calibri Light" w:eastAsia="黑体"/>
          <w:sz w:val="20"/>
          <w:szCs w:val="20"/>
        </w:rPr>
      </w:pPr>
      <w:bookmarkStart w:id="89" w:name="冬季工况人行区风速云图"/>
      <w:bookmarkEnd w:id="89"/>
      <w:r>
        <w:drawing>
          <wp:inline distT="0" distB="0" distL="0" distR="0">
            <wp:extent cx="5667375" cy="339090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2"/>
                    <a:stretch>
                      <a:fillRect/>
                    </a:stretch>
                  </pic:blipFill>
                  <pic:spPr>
                    <a:xfrm>
                      <a:off x="0" y="0"/>
                      <a:ext cx="5667375" cy="3390900"/>
                    </a:xfrm>
                    <a:prstGeom prst="rect">
                      <a:avLst/>
                    </a:prstGeom>
                  </pic:spPr>
                </pic:pic>
              </a:graphicData>
            </a:graphic>
          </wp:inline>
        </w:drawing>
      </w:r>
    </w:p>
    <w:p w14:paraId="587A8FDA">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计算域内-1.5米高度水平面风速云图-冬季</w:t>
      </w:r>
    </w:p>
    <w:p w14:paraId="27037AF5">
      <w:pPr>
        <w:pStyle w:val="3"/>
        <w:ind w:firstLine="420"/>
        <w:rPr>
          <w:lang w:val="en-US"/>
        </w:rPr>
      </w:pPr>
    </w:p>
    <w:p w14:paraId="5BA0D7EF">
      <w:pPr>
        <w:pStyle w:val="5"/>
      </w:pPr>
      <w:bookmarkStart w:id="90" w:name="_Toc509844752"/>
      <w:bookmarkStart w:id="91" w:name="_Toc2497"/>
      <w:r>
        <w:rPr>
          <w:rFonts w:hint="eastAsia"/>
        </w:rPr>
        <w:t>风速放大系数达标分析</w:t>
      </w:r>
      <w:bookmarkEnd w:id="90"/>
      <w:bookmarkEnd w:id="91"/>
    </w:p>
    <w:p w14:paraId="07DDC710">
      <w:pPr>
        <w:pStyle w:val="3"/>
        <w:ind w:firstLine="420"/>
        <w:jc w:val="left"/>
        <w:rPr>
          <w:lang w:val="en-US"/>
        </w:rPr>
      </w:pPr>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列云图数据，</w:t>
      </w:r>
      <w:bookmarkStart w:id="92" w:name="冬季工况人行区风速放大系数分析结论"/>
      <w:bookmarkEnd w:id="92"/>
      <w:r>
        <w:rPr>
          <w:lang w:val="en-US"/>
        </w:rPr>
        <w:t>图中未标示出风速放大系数超标区域，因此可知人行区域风速放大系数最大值为1.44，小于2，</w:t>
      </w:r>
      <w:r>
        <w:rPr>
          <w:color w:val="0000FF"/>
          <w:lang w:val="en-US"/>
        </w:rPr>
        <w:t>满足</w:t>
      </w:r>
      <w:r>
        <w:rPr>
          <w:lang w:val="en-US"/>
        </w:rPr>
        <w:t>绿标要求。</w:t>
      </w:r>
    </w:p>
    <w:p w14:paraId="4DA72C7B">
      <w:pPr>
        <w:jc w:val="center"/>
      </w:pPr>
      <w:bookmarkStart w:id="93" w:name="冬季工况人行区风速放大系数云图"/>
      <w:bookmarkEnd w:id="93"/>
      <w:r>
        <w:drawing>
          <wp:inline distT="0" distB="0" distL="0" distR="0">
            <wp:extent cx="5667375" cy="33909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3"/>
                    <a:stretch>
                      <a:fillRect/>
                    </a:stretch>
                  </pic:blipFill>
                  <pic:spPr>
                    <a:xfrm>
                      <a:off x="0" y="0"/>
                      <a:ext cx="5667375" cy="3390900"/>
                    </a:xfrm>
                    <a:prstGeom prst="rect">
                      <a:avLst/>
                    </a:prstGeom>
                  </pic:spPr>
                </pic:pic>
              </a:graphicData>
            </a:graphic>
          </wp:inline>
        </w:drawing>
      </w:r>
    </w:p>
    <w:p w14:paraId="48804471">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rPr>
        <w:t>计算域内-1.5米高处风速放大系数云图</w:t>
      </w:r>
    </w:p>
    <w:p w14:paraId="6C3CB187">
      <w:pPr>
        <w:pStyle w:val="3"/>
        <w:ind w:firstLine="420"/>
        <w:rPr>
          <w:lang w:val="en-US"/>
        </w:rPr>
      </w:pPr>
    </w:p>
    <w:p w14:paraId="2448AA45">
      <w:pPr>
        <w:pStyle w:val="3"/>
        <w:ind w:firstLine="420"/>
        <w:rPr>
          <w:rFonts w:ascii="黑体" w:hAnsi="黑体" w:eastAsia="黑体"/>
          <w:szCs w:val="20"/>
          <w:lang w:val="en-US"/>
        </w:rPr>
      </w:pPr>
      <w:r>
        <w:rPr>
          <w:rFonts w:hint="eastAsia" w:ascii="黑体" w:hAnsi="黑体" w:eastAsia="黑体"/>
          <w:szCs w:val="20"/>
          <w:lang w:val="en-US"/>
        </w:rPr>
        <w:t>注：</w:t>
      </w:r>
    </w:p>
    <w:p w14:paraId="5049D973">
      <w:pPr>
        <w:pStyle w:val="3"/>
        <w:ind w:firstLine="420"/>
        <w:rPr>
          <w:rFonts w:ascii="黑体" w:hAnsi="黑体" w:eastAsia="黑体"/>
          <w:szCs w:val="20"/>
          <w:lang w:val="en-US"/>
        </w:rPr>
      </w:pPr>
      <w:r>
        <w:rPr>
          <w:rFonts w:hint="eastAsia" w:ascii="黑体" w:hAnsi="黑体" w:eastAsia="黑体"/>
          <w:szCs w:val="20"/>
          <w:lang w:val="en-US"/>
        </w:rPr>
        <w:t>1）计算域内结果云图中图例上限为软件默认输出，图例上限也可按需求在结果浏览中调整。</w:t>
      </w:r>
    </w:p>
    <w:p w14:paraId="48EE694D">
      <w:pPr>
        <w:ind w:firstLine="420" w:firstLineChars="200"/>
        <w:rPr>
          <w:rFonts w:hint="eastAsia" w:ascii="黑体" w:hAnsi="黑体" w:eastAsia="黑体"/>
          <w:lang w:val="en-US"/>
        </w:rPr>
      </w:pPr>
      <w:r>
        <w:rPr>
          <w:rFonts w:hint="eastAsia" w:ascii="黑体" w:hAnsi="黑体" w:eastAsia="黑体"/>
          <w:lang w:val="en-US"/>
        </w:rPr>
        <w:t>2）通常将1.5米作为一般人群的参考行走高度，也可酌情调整人行走高度。</w:t>
      </w:r>
      <w:bookmarkStart w:id="94" w:name="_Toc509844754"/>
      <w:bookmarkEnd w:id="94"/>
      <w:bookmarkStart w:id="95" w:name="_Toc509844755"/>
      <w:bookmarkEnd w:id="95"/>
      <w:bookmarkStart w:id="96" w:name="_Toc509844756"/>
      <w:bookmarkEnd w:id="96"/>
      <w:bookmarkStart w:id="97" w:name="_Toc509844757"/>
      <w:bookmarkEnd w:id="97"/>
    </w:p>
    <w:p w14:paraId="544F1A3C">
      <w:pPr>
        <w:pStyle w:val="3"/>
        <w:ind w:firstLine="420"/>
        <w:rPr>
          <w:lang w:val="en-US"/>
        </w:rPr>
      </w:pPr>
    </w:p>
    <w:p w14:paraId="7BCE4882">
      <w:pPr>
        <w:pStyle w:val="5"/>
      </w:pPr>
      <w:bookmarkStart w:id="98" w:name="_Toc509844753"/>
      <w:bookmarkStart w:id="99" w:name="_Toc24443"/>
      <w:r>
        <w:rPr>
          <w:rFonts w:hint="eastAsia"/>
        </w:rPr>
        <w:t>冬季工况风速/风速放大系数达标</w:t>
      </w:r>
      <w:bookmarkEnd w:id="98"/>
      <w:r>
        <w:rPr>
          <w:rFonts w:hint="eastAsia"/>
        </w:rPr>
        <w:t>结果汇总</w:t>
      </w:r>
      <w:bookmarkEnd w:id="99"/>
    </w:p>
    <w:p w14:paraId="74354D3C">
      <w:pPr>
        <w:pStyle w:val="3"/>
        <w:ind w:firstLine="420"/>
      </w:pPr>
      <w:r>
        <w:rPr>
          <w:rFonts w:hint="eastAsia"/>
          <w:lang w:val="en-US"/>
        </w:rPr>
        <w:t>综合上述冬季工况风场中风速和风速放大系数的计算分析，将分析结果汇总如下表：</w:t>
      </w:r>
    </w:p>
    <w:p w14:paraId="5326A673">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14:paraId="210E7A87">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AA69B">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31A65F82">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D837ABC">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E50A676">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77476940">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14:paraId="7D166F07">
            <w:pPr>
              <w:rPr>
                <w:rFonts w:ascii="宋体" w:hAnsi="宋体" w:cs="宋体"/>
                <w:szCs w:val="21"/>
              </w:rPr>
            </w:pPr>
            <w:r>
              <w:rPr>
                <w:rFonts w:hint="eastAsia" w:ascii="宋体" w:hAnsi="宋体" w:cs="宋体"/>
                <w:szCs w:val="21"/>
              </w:rPr>
              <w:t>风速</w:t>
            </w:r>
          </w:p>
        </w:tc>
        <w:tc>
          <w:tcPr>
            <w:tcW w:w="1581" w:type="dxa"/>
            <w:tcBorders>
              <w:top w:val="nil"/>
              <w:left w:val="nil"/>
              <w:bottom w:val="single" w:color="auto" w:sz="4" w:space="0"/>
              <w:right w:val="single" w:color="auto" w:sz="4" w:space="0"/>
            </w:tcBorders>
            <w:shd w:val="clear" w:color="auto" w:fill="auto"/>
            <w:noWrap/>
            <w:vAlign w:val="center"/>
          </w:tcPr>
          <w:p w14:paraId="2A052742">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14:paraId="0DB25EDB">
            <w:pPr>
              <w:spacing w:line="240" w:lineRule="auto"/>
              <w:ind w:firstLine="220" w:firstLineChars="100"/>
              <w:rPr>
                <w:rFonts w:ascii="宋体" w:hAnsi="宋体" w:cs="宋体"/>
                <w:color w:val="000000"/>
                <w:sz w:val="22"/>
                <w:szCs w:val="22"/>
                <w:lang w:val="en-US"/>
              </w:rPr>
            </w:pPr>
            <w:bookmarkStart w:id="100" w:name="冬季工况风速是否有超限区域"/>
            <w:r>
              <w:rPr>
                <w:rFonts w:hint="eastAsia" w:ascii="宋体" w:hAnsi="宋体" w:cs="宋体"/>
                <w:color w:val="000000"/>
                <w:sz w:val="22"/>
                <w:szCs w:val="22"/>
                <w:lang w:val="en-US"/>
              </w:rPr>
              <w:t>否</w:t>
            </w:r>
            <w:bookmarkEnd w:id="100"/>
          </w:p>
        </w:tc>
        <w:tc>
          <w:tcPr>
            <w:tcW w:w="1275" w:type="dxa"/>
            <w:tcBorders>
              <w:top w:val="nil"/>
              <w:left w:val="nil"/>
              <w:bottom w:val="single" w:color="auto" w:sz="4" w:space="0"/>
              <w:right w:val="single" w:color="auto" w:sz="4" w:space="0"/>
            </w:tcBorders>
            <w:shd w:val="clear" w:color="auto" w:fill="auto"/>
            <w:noWrap/>
            <w:vAlign w:val="center"/>
          </w:tcPr>
          <w:p w14:paraId="0DB1EDBA">
            <w:pPr>
              <w:spacing w:line="240" w:lineRule="auto"/>
              <w:rPr>
                <w:rFonts w:ascii="宋体" w:hAnsi="宋体" w:cs="宋体"/>
                <w:color w:val="000000"/>
                <w:sz w:val="22"/>
                <w:szCs w:val="22"/>
                <w:lang w:val="en-US"/>
              </w:rPr>
            </w:pPr>
            <w:bookmarkStart w:id="101" w:name="冬季工况风速达标判断"/>
            <w:r>
              <w:rPr>
                <w:rFonts w:hint="eastAsia" w:ascii="宋体" w:hAnsi="宋体" w:cs="宋体"/>
                <w:color w:val="000000"/>
                <w:sz w:val="22"/>
                <w:szCs w:val="22"/>
                <w:lang w:val="en-US"/>
              </w:rPr>
              <w:t>是</w:t>
            </w:r>
            <w:bookmarkEnd w:id="101"/>
          </w:p>
        </w:tc>
      </w:tr>
      <w:tr w14:paraId="06E36EB9">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8C142">
            <w:pPr>
              <w:rPr>
                <w:rFonts w:ascii="宋体" w:hAnsi="宋体" w:cs="宋体"/>
                <w:szCs w:val="21"/>
              </w:rPr>
            </w:pPr>
            <w:r>
              <w:rPr>
                <w:rFonts w:hint="eastAsia" w:ascii="宋体" w:hAnsi="宋体" w:cs="宋体"/>
                <w:szCs w:val="21"/>
              </w:rPr>
              <w:t>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19467907">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80AD101">
            <w:pPr>
              <w:spacing w:line="240" w:lineRule="auto"/>
              <w:ind w:firstLine="220" w:firstLineChars="100"/>
              <w:rPr>
                <w:rFonts w:ascii="宋体" w:hAnsi="宋体" w:cs="宋体"/>
                <w:color w:val="000000"/>
                <w:sz w:val="22"/>
                <w:szCs w:val="22"/>
                <w:lang w:val="en-US"/>
              </w:rPr>
            </w:pPr>
            <w:bookmarkStart w:id="102" w:name="冬季工况风速放大系数是否有超限区域"/>
            <w:r>
              <w:rPr>
                <w:rFonts w:hint="eastAsia" w:ascii="宋体" w:hAnsi="宋体" w:cs="宋体"/>
                <w:color w:val="000000"/>
                <w:sz w:val="22"/>
                <w:szCs w:val="22"/>
                <w:lang w:val="en-US"/>
              </w:rPr>
              <w:t>否</w:t>
            </w:r>
            <w:bookmarkEnd w:id="102"/>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5B60D587">
            <w:pPr>
              <w:spacing w:line="240" w:lineRule="auto"/>
              <w:rPr>
                <w:rFonts w:ascii="宋体" w:hAnsi="宋体" w:cs="宋体"/>
                <w:color w:val="000000"/>
                <w:sz w:val="22"/>
                <w:szCs w:val="22"/>
                <w:lang w:val="en-US"/>
              </w:rPr>
            </w:pPr>
            <w:bookmarkStart w:id="103" w:name="冬季工况风速放大系数达标判断"/>
            <w:r>
              <w:rPr>
                <w:rFonts w:hint="eastAsia" w:ascii="宋体" w:hAnsi="宋体" w:cs="宋体"/>
                <w:color w:val="000000"/>
                <w:sz w:val="22"/>
                <w:szCs w:val="22"/>
                <w:lang w:val="en-US"/>
              </w:rPr>
              <w:t>是</w:t>
            </w:r>
            <w:bookmarkEnd w:id="103"/>
          </w:p>
        </w:tc>
      </w:tr>
    </w:tbl>
    <w:p w14:paraId="425A9CF2"/>
    <w:p w14:paraId="7F2461D4">
      <w:pPr>
        <w:pStyle w:val="5"/>
      </w:pPr>
      <w:bookmarkStart w:id="104" w:name="_Toc14541"/>
      <w:r>
        <w:rPr>
          <w:rFonts w:hint="eastAsia"/>
        </w:rPr>
        <w:t>建筑迎风面和背风面风压分析</w:t>
      </w:r>
      <w:bookmarkEnd w:id="13"/>
      <w:bookmarkEnd w:id="104"/>
    </w:p>
    <w:p w14:paraId="2D1CBB8A">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14:paraId="37DD99E7">
      <w:pPr>
        <w:pStyle w:val="6"/>
        <w:rPr>
          <w:lang w:val="en-US"/>
        </w:rPr>
      </w:pPr>
      <w:r>
        <w:rPr>
          <w:rFonts w:hint="eastAsia"/>
          <w:lang w:val="en-US"/>
        </w:rPr>
        <w:t>建筑迎风面和背风面风压差计算方法</w:t>
      </w:r>
    </w:p>
    <w:p w14:paraId="10144936">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14:paraId="550AE68E">
      <w:pPr>
        <w:pStyle w:val="3"/>
        <w:ind w:firstLine="0" w:firstLineChars="0"/>
        <w:jc w:val="center"/>
        <w:rPr>
          <w:lang w:val="en-US"/>
        </w:rPr>
      </w:pPr>
      <w:r>
        <w:rPr>
          <w:lang w:val="en-US"/>
        </w:rPr>
        <w:drawing>
          <wp:inline distT="0" distB="0" distL="0" distR="0">
            <wp:extent cx="3657600" cy="2924175"/>
            <wp:effectExtent l="0" t="0" r="0" b="9525"/>
            <wp:docPr id="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14:paraId="2CDFCFB4">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示意建筑平面图</w:t>
      </w:r>
    </w:p>
    <w:p w14:paraId="2ED8345F">
      <w:pPr>
        <w:pStyle w:val="3"/>
        <w:ind w:firstLine="420"/>
        <w:rPr>
          <w:lang w:val="en-US"/>
        </w:rPr>
      </w:pPr>
      <w:r>
        <w:rPr>
          <w:rFonts w:hint="eastAsia"/>
          <w:lang w:val="en-US"/>
        </w:rPr>
        <w:t>以上图建筑第二层为例，迎风面窗户C1，C2，C3的平均风压值，通过每个窗户的平均风压和其窗户面积进行加权平均计算，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14:paraId="481A6F1E">
        <w:tblPrEx>
          <w:tblCellMar>
            <w:top w:w="0" w:type="dxa"/>
            <w:left w:w="108" w:type="dxa"/>
            <w:bottom w:w="0" w:type="dxa"/>
            <w:right w:w="108" w:type="dxa"/>
          </w:tblCellMar>
        </w:tblPrEx>
        <w:tc>
          <w:tcPr>
            <w:tcW w:w="8188" w:type="dxa"/>
            <w:shd w:val="clear" w:color="auto" w:fill="auto"/>
          </w:tcPr>
          <w:p w14:paraId="3565542B">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14:paraId="1514327E">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14:paraId="53F68DB1">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14:paraId="3A9505A4">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14:paraId="39530B76">
      <w:pPr>
        <w:pStyle w:val="6"/>
      </w:pPr>
      <w:r>
        <w:rPr>
          <w:rFonts w:hint="eastAsia"/>
        </w:rPr>
        <w:t>建筑迎风面和背风面风压云图</w:t>
      </w:r>
    </w:p>
    <w:p w14:paraId="186CEC37">
      <w:pPr>
        <w:pStyle w:val="13"/>
        <w:jc w:val="center"/>
        <w:rPr>
          <w:lang w:val="en-US"/>
        </w:rPr>
      </w:pPr>
      <w:bookmarkStart w:id="105" w:name="冬季工况建筑迎风面风压云图"/>
      <w:bookmarkEnd w:id="105"/>
      <w:r>
        <w:drawing>
          <wp:inline distT="0" distB="0" distL="0" distR="0">
            <wp:extent cx="5667375" cy="335280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75"/>
                    <a:stretch>
                      <a:fillRect/>
                    </a:stretch>
                  </pic:blipFill>
                  <pic:spPr>
                    <a:xfrm>
                      <a:off x="0" y="0"/>
                      <a:ext cx="5667375" cy="3352800"/>
                    </a:xfrm>
                    <a:prstGeom prst="rect">
                      <a:avLst/>
                    </a:prstGeom>
                  </pic:spPr>
                </pic:pic>
              </a:graphicData>
            </a:graphic>
          </wp:inline>
        </w:drawing>
      </w:r>
    </w:p>
    <w:p w14:paraId="1A1FB478">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14:paraId="42089BDC">
      <w:pPr>
        <w:pStyle w:val="13"/>
        <w:jc w:val="center"/>
      </w:pPr>
      <w:bookmarkStart w:id="106" w:name="冬季工况建筑背风面风压云图"/>
      <w:bookmarkEnd w:id="106"/>
      <w:r>
        <w:drawing>
          <wp:inline distT="0" distB="0" distL="0" distR="0">
            <wp:extent cx="5667375" cy="33623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76"/>
                    <a:stretch>
                      <a:fillRect/>
                    </a:stretch>
                  </pic:blipFill>
                  <pic:spPr>
                    <a:xfrm>
                      <a:off x="0" y="0"/>
                      <a:ext cx="5667375" cy="3362325"/>
                    </a:xfrm>
                    <a:prstGeom prst="rect">
                      <a:avLst/>
                    </a:prstGeom>
                  </pic:spPr>
                </pic:pic>
              </a:graphicData>
            </a:graphic>
          </wp:inline>
        </w:drawing>
      </w:r>
    </w:p>
    <w:p w14:paraId="3A1B4274">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14:paraId="101B54B8">
      <w:pPr>
        <w:jc w:val="center"/>
        <w:rPr>
          <w:rFonts w:ascii="Cambria" w:hAnsi="Cambria" w:eastAsia="黑体"/>
          <w:sz w:val="20"/>
        </w:rPr>
      </w:pPr>
      <w:bookmarkStart w:id="107" w:name="建筑迎背风面风压差表_新增"/>
      <w:bookmarkEnd w:id="107"/>
      <w:bookmarkStart w:id="108" w:name="建筑迎背风面风压差表"/>
    </w:p>
    <w:bookmarkEnd w:id="108"/>
    <w:p w14:paraId="24AEE8A6">
      <w:pPr>
        <w:pStyle w:val="6"/>
      </w:pPr>
      <w:r>
        <w:rPr>
          <w:rFonts w:hint="eastAsia"/>
        </w:rPr>
        <w:t>建筑迎风和背风面风压差结论汇总</w:t>
      </w:r>
    </w:p>
    <w:p w14:paraId="7F5A93F7">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2</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14:paraId="4E03D8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14:paraId="7074F159">
            <w:pPr>
              <w:jc w:val="center"/>
              <w:rPr>
                <w:lang w:val="en-US"/>
              </w:rPr>
            </w:pPr>
            <w:bookmarkStart w:id="109" w:name="建筑迎风和背风面风压差结论汇总表"/>
            <w:r>
              <w:rPr>
                <w:rFonts w:hint="eastAsia"/>
                <w:lang w:val="en-US"/>
              </w:rPr>
              <w:t>建筑编号</w:t>
            </w:r>
          </w:p>
        </w:tc>
        <w:tc>
          <w:tcPr>
            <w:tcW w:w="1276" w:type="dxa"/>
            <w:shd w:val="clear" w:color="auto" w:fill="E6E6E6"/>
            <w:vAlign w:val="center"/>
          </w:tcPr>
          <w:p w14:paraId="7E69DC2A">
            <w:pPr>
              <w:jc w:val="center"/>
              <w:rPr>
                <w:lang w:val="en-US"/>
              </w:rPr>
            </w:pPr>
            <w:r>
              <w:rPr>
                <w:rFonts w:hint="eastAsia"/>
                <w:lang w:val="en-US"/>
              </w:rPr>
              <w:t>迎风面平均风压(Pa)</w:t>
            </w:r>
          </w:p>
        </w:tc>
        <w:tc>
          <w:tcPr>
            <w:tcW w:w="1276" w:type="dxa"/>
            <w:shd w:val="clear" w:color="auto" w:fill="E6E6E6"/>
            <w:vAlign w:val="center"/>
          </w:tcPr>
          <w:p w14:paraId="2AECCFE2">
            <w:pPr>
              <w:jc w:val="center"/>
              <w:rPr>
                <w:lang w:val="en-US"/>
              </w:rPr>
            </w:pPr>
            <w:r>
              <w:rPr>
                <w:rFonts w:hint="eastAsia"/>
                <w:lang w:val="en-US"/>
              </w:rPr>
              <w:t>背风面平均风压(Pa)</w:t>
            </w:r>
          </w:p>
        </w:tc>
        <w:tc>
          <w:tcPr>
            <w:tcW w:w="1701" w:type="dxa"/>
            <w:shd w:val="clear" w:color="auto" w:fill="E6E6E6"/>
            <w:vAlign w:val="center"/>
          </w:tcPr>
          <w:p w14:paraId="0B2359BB">
            <w:pPr>
              <w:jc w:val="center"/>
              <w:rPr>
                <w:lang w:val="en-US"/>
              </w:rPr>
            </w:pPr>
            <w:r>
              <w:rPr>
                <w:rFonts w:hint="eastAsia"/>
                <w:lang w:val="en-US"/>
              </w:rPr>
              <w:t>建筑迎风和背风面风压差(Pa)</w:t>
            </w:r>
          </w:p>
        </w:tc>
        <w:tc>
          <w:tcPr>
            <w:tcW w:w="973" w:type="dxa"/>
            <w:shd w:val="clear" w:color="auto" w:fill="E6E6E6"/>
            <w:vAlign w:val="center"/>
          </w:tcPr>
          <w:p w14:paraId="19751ECF">
            <w:pPr>
              <w:jc w:val="center"/>
              <w:rPr>
                <w:lang w:val="en-US"/>
              </w:rPr>
            </w:pPr>
            <w:r>
              <w:rPr>
                <w:rFonts w:hint="eastAsia"/>
                <w:lang w:val="en-US"/>
              </w:rPr>
              <w:t>是否达标</w:t>
            </w:r>
          </w:p>
        </w:tc>
      </w:tr>
      <w:tr w14:paraId="0C7CA0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70DB5D0B">
            <w:pPr>
              <w:jc w:val="center"/>
              <w:rPr>
                <w:lang w:val="en-US"/>
              </w:rPr>
            </w:pPr>
            <w:r>
              <w:rPr>
                <w:lang w:val="en-US"/>
              </w:rPr>
              <w:t>1</w:t>
            </w:r>
          </w:p>
        </w:tc>
        <w:tc>
          <w:tcPr>
            <w:tcW w:w="1276" w:type="dxa"/>
            <w:shd w:val="clear" w:color="auto" w:fill="auto"/>
            <w:vAlign w:val="center"/>
          </w:tcPr>
          <w:p w14:paraId="5C6DAE2B">
            <w:pPr>
              <w:jc w:val="center"/>
              <w:rPr>
                <w:lang w:val="en-US"/>
              </w:rPr>
            </w:pPr>
            <w:r>
              <w:rPr>
                <w:lang w:val="en-US"/>
              </w:rPr>
              <w:t>6.39</w:t>
            </w:r>
          </w:p>
        </w:tc>
        <w:tc>
          <w:tcPr>
            <w:tcW w:w="1276" w:type="dxa"/>
            <w:shd w:val="clear" w:color="auto" w:fill="auto"/>
            <w:vAlign w:val="center"/>
          </w:tcPr>
          <w:p w14:paraId="0FBDFB99">
            <w:pPr>
              <w:jc w:val="center"/>
              <w:rPr>
                <w:lang w:val="en-US"/>
              </w:rPr>
            </w:pPr>
            <w:r>
              <w:rPr>
                <w:lang w:val="en-US"/>
              </w:rPr>
              <w:t>-4.19</w:t>
            </w:r>
          </w:p>
        </w:tc>
        <w:tc>
          <w:tcPr>
            <w:tcW w:w="1701" w:type="dxa"/>
            <w:shd w:val="clear" w:color="auto" w:fill="auto"/>
            <w:vAlign w:val="center"/>
          </w:tcPr>
          <w:p w14:paraId="5CF46315">
            <w:pPr>
              <w:jc w:val="center"/>
              <w:rPr>
                <w:lang w:val="en-US"/>
              </w:rPr>
            </w:pPr>
            <w:r>
              <w:rPr>
                <w:color w:val="FF0000"/>
                <w:lang w:val="en-US"/>
              </w:rPr>
              <w:t>10.58</w:t>
            </w:r>
          </w:p>
        </w:tc>
        <w:tc>
          <w:tcPr>
            <w:tcW w:w="973" w:type="dxa"/>
            <w:shd w:val="clear" w:color="auto" w:fill="auto"/>
            <w:vAlign w:val="center"/>
          </w:tcPr>
          <w:p w14:paraId="6E6BCEE0">
            <w:pPr>
              <w:jc w:val="center"/>
              <w:rPr>
                <w:lang w:val="en-US"/>
              </w:rPr>
            </w:pPr>
            <w:r>
              <w:rPr>
                <w:color w:val="FF0000"/>
                <w:lang w:val="en-US"/>
              </w:rPr>
              <w:t>否</w:t>
            </w:r>
          </w:p>
        </w:tc>
      </w:tr>
      <w:tr w14:paraId="1D1E0D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6D482382">
            <w:pPr>
              <w:jc w:val="center"/>
              <w:rPr>
                <w:lang w:val="en-US"/>
              </w:rPr>
            </w:pPr>
            <w:r>
              <w:rPr>
                <w:lang w:val="en-US"/>
              </w:rPr>
              <w:t>未命名</w:t>
            </w:r>
          </w:p>
        </w:tc>
        <w:tc>
          <w:tcPr>
            <w:tcW w:w="1276" w:type="dxa"/>
            <w:shd w:val="clear" w:color="auto" w:fill="auto"/>
            <w:vAlign w:val="center"/>
          </w:tcPr>
          <w:p w14:paraId="0FD40C92">
            <w:pPr>
              <w:jc w:val="center"/>
              <w:rPr>
                <w:lang w:val="en-US"/>
              </w:rPr>
            </w:pPr>
            <w:r>
              <w:rPr>
                <w:lang w:val="en-US"/>
              </w:rPr>
              <w:t>3.42</w:t>
            </w:r>
          </w:p>
        </w:tc>
        <w:tc>
          <w:tcPr>
            <w:tcW w:w="1276" w:type="dxa"/>
            <w:shd w:val="clear" w:color="auto" w:fill="auto"/>
            <w:vAlign w:val="center"/>
          </w:tcPr>
          <w:p w14:paraId="1518497A">
            <w:pPr>
              <w:jc w:val="center"/>
              <w:rPr>
                <w:lang w:val="en-US"/>
              </w:rPr>
            </w:pPr>
            <w:r>
              <w:rPr>
                <w:lang w:val="en-US"/>
              </w:rPr>
              <w:t>-3.27</w:t>
            </w:r>
          </w:p>
        </w:tc>
        <w:tc>
          <w:tcPr>
            <w:tcW w:w="1701" w:type="dxa"/>
            <w:shd w:val="clear" w:color="auto" w:fill="auto"/>
            <w:vAlign w:val="center"/>
          </w:tcPr>
          <w:p w14:paraId="3E882DB3">
            <w:pPr>
              <w:jc w:val="center"/>
              <w:rPr>
                <w:lang w:val="en-US"/>
              </w:rPr>
            </w:pPr>
            <w:r>
              <w:rPr>
                <w:color w:val="FF0000"/>
                <w:lang w:val="en-US"/>
              </w:rPr>
              <w:t>6.69</w:t>
            </w:r>
          </w:p>
        </w:tc>
        <w:tc>
          <w:tcPr>
            <w:tcW w:w="973" w:type="dxa"/>
            <w:shd w:val="clear" w:color="auto" w:fill="auto"/>
            <w:vAlign w:val="center"/>
          </w:tcPr>
          <w:p w14:paraId="583CC40C">
            <w:pPr>
              <w:jc w:val="center"/>
              <w:rPr>
                <w:lang w:val="en-US"/>
              </w:rPr>
            </w:pPr>
            <w:r>
              <w:rPr>
                <w:color w:val="FF0000"/>
                <w:lang w:val="en-US"/>
              </w:rPr>
              <w:t>否</w:t>
            </w:r>
          </w:p>
        </w:tc>
      </w:tr>
      <w:bookmarkEnd w:id="109"/>
    </w:tbl>
    <w:p w14:paraId="321E0B96">
      <w:pPr>
        <w:rPr>
          <w:lang w:val="en-US"/>
        </w:rPr>
      </w:pPr>
      <w:bookmarkStart w:id="110" w:name="建筑迎风和背风面风压差结论汇总结论"/>
      <w:bookmarkEnd w:id="110"/>
      <w:r>
        <w:rPr>
          <w:lang w:val="en-US"/>
        </w:rPr>
        <w:t>结论：本项目中所有参评建筑迎背风压差</w:t>
      </w:r>
      <w:r>
        <w:rPr>
          <w:b/>
          <w:color w:val="FF0000"/>
          <w:lang w:val="en-US"/>
        </w:rPr>
        <w:t>超过</w:t>
      </w:r>
      <w:r>
        <w:rPr>
          <w:lang w:val="en-US"/>
        </w:rPr>
        <w:t>5Pa，</w:t>
      </w:r>
      <w:r>
        <w:rPr>
          <w:b/>
          <w:color w:val="FF0000"/>
          <w:lang w:val="en-US"/>
        </w:rPr>
        <w:t>未满足</w:t>
      </w:r>
      <w:r>
        <w:rPr>
          <w:lang w:val="en-US"/>
        </w:rPr>
        <w:t>“除迎风第一排建筑外，建筑迎风面与背风面表面风压差不超过5Pa”的要求，该条不得分。</w:t>
      </w:r>
    </w:p>
    <w:p w14:paraId="71389A67">
      <w:pPr>
        <w:rPr>
          <w:lang w:val="en-US"/>
        </w:rPr>
      </w:pPr>
      <w:r>
        <w:rPr>
          <w:b/>
          <w:color w:val="000000"/>
          <w:lang w:val="en-US"/>
        </w:rPr>
        <w:t>说明：所有单体建筑各层迎风和背风面风压差信息详见附录。</w:t>
      </w:r>
    </w:p>
    <w:p w14:paraId="5596B21F">
      <w:pPr>
        <w:rPr>
          <w:lang w:val="en-US"/>
        </w:rPr>
      </w:pPr>
      <w:bookmarkStart w:id="111" w:name="冬季工况"/>
      <w:bookmarkEnd w:id="111"/>
      <w:r>
        <w:rPr>
          <w:rFonts w:hint="eastAsia"/>
          <w:lang w:val="en-US"/>
        </w:rPr>
        <w:t xml:space="preserve"> </w:t>
      </w:r>
    </w:p>
    <w:p w14:paraId="1F0C4FF0">
      <w:pPr>
        <w:pStyle w:val="4"/>
      </w:pPr>
      <w:bookmarkStart w:id="112" w:name="_Toc509844759"/>
      <w:bookmarkStart w:id="113" w:name="_Toc3524"/>
      <w:r>
        <w:rPr>
          <w:rFonts w:hint="eastAsia"/>
        </w:rPr>
        <w:t>夏季工况</w:t>
      </w:r>
      <w:bookmarkEnd w:id="112"/>
      <w:bookmarkEnd w:id="113"/>
    </w:p>
    <w:p w14:paraId="57C55E2A">
      <w:pPr>
        <w:pStyle w:val="3"/>
        <w:ind w:firstLine="420"/>
      </w:pPr>
      <w:r>
        <w:rPr>
          <w:rFonts w:hint="eastAsia"/>
          <w:lang w:val="en-US"/>
        </w:rPr>
        <w:t>本项目夏季</w:t>
      </w:r>
      <w:bookmarkEnd w:id="2"/>
      <w:r>
        <w:rPr>
          <w:rFonts w:hint="eastAsia"/>
          <w:lang w:val="en-US"/>
        </w:rPr>
        <w:t>工况的入口边界风速为</w:t>
      </w:r>
      <w:bookmarkStart w:id="114" w:name="入口边界风速"/>
      <w:r>
        <w:rPr>
          <w:rFonts w:hint="eastAsia"/>
          <w:lang w:val="en-US"/>
        </w:rPr>
        <w:t>3.00</w:t>
      </w:r>
      <w:bookmarkEnd w:id="114"/>
      <w:r>
        <w:rPr>
          <w:rFonts w:hint="eastAsia"/>
          <w:lang w:val="en-US"/>
        </w:rPr>
        <w:t>m/s，风向为</w:t>
      </w:r>
      <w:bookmarkStart w:id="115" w:name="入口边界风向"/>
      <w:r>
        <w:t>SW</w:t>
      </w:r>
      <w:bookmarkEnd w:id="115"/>
      <w:r>
        <w:rPr>
          <w:rFonts w:hint="eastAsia"/>
          <w:lang w:val="en-US"/>
        </w:rPr>
        <w:t>。</w:t>
      </w:r>
    </w:p>
    <w:p w14:paraId="149AB35C">
      <w:pPr>
        <w:pStyle w:val="3"/>
        <w:ind w:firstLine="420"/>
      </w:pPr>
      <w:r>
        <w:rPr>
          <w:rFonts w:hint="eastAsia"/>
          <w:lang w:val="en-US"/>
        </w:rPr>
        <w:t>根据前述《绿色建筑评价标准》 对于夏季工况的要求，夏季</w:t>
      </w:r>
      <w:bookmarkEnd w:id="5"/>
      <w:r>
        <w:rPr>
          <w:rFonts w:hint="eastAsia"/>
          <w:lang w:val="en-US"/>
        </w:rPr>
        <w:t>典型风速和风向条件下，场地内人活动区不出现涡旋或无风区。通过该项标准指导设计确保合理的建筑布局，在</w:t>
      </w:r>
      <w:bookmarkStart w:id="116" w:name="季节4"/>
      <w:r>
        <w:rPr>
          <w:rFonts w:hint="eastAsia"/>
          <w:lang w:val="en-US"/>
        </w:rPr>
        <w:t>夏季</w:t>
      </w:r>
      <w:bookmarkEnd w:id="116"/>
      <w:r>
        <w:rPr>
          <w:rFonts w:hint="eastAsia"/>
          <w:lang w:val="en-US"/>
        </w:rPr>
        <w:t>形成有效的巷道风，优化街区自然通风环境，避免</w:t>
      </w:r>
      <w:bookmarkStart w:id="117" w:name="季节5"/>
      <w:r>
        <w:rPr>
          <w:rFonts w:hint="eastAsia"/>
          <w:lang w:val="en-US"/>
        </w:rPr>
        <w:t>夏季</w:t>
      </w:r>
      <w:bookmarkEnd w:id="117"/>
      <w:r>
        <w:rPr>
          <w:rFonts w:hint="eastAsia"/>
          <w:lang w:val="en-US"/>
        </w:rPr>
        <w:t>人活动区有明显的气流旋涡和无风区，从而造成闷热不适感。因此本项目需要分析人活动区的风速，并作出判断。</w:t>
      </w:r>
    </w:p>
    <w:p w14:paraId="4BBDFB03">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14:paraId="632AE4D0">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14:paraId="49721910">
      <w:pPr>
        <w:pStyle w:val="5"/>
      </w:pPr>
      <w:bookmarkStart w:id="118" w:name="_Toc509844760"/>
      <w:bookmarkStart w:id="119" w:name="_Toc23243"/>
      <w:r>
        <w:rPr>
          <w:rFonts w:hint="eastAsia"/>
        </w:rPr>
        <w:t>无风区计算分析</w:t>
      </w:r>
      <w:bookmarkEnd w:id="118"/>
      <w:bookmarkEnd w:id="119"/>
    </w:p>
    <w:p w14:paraId="553FBBB3">
      <w:pPr>
        <w:pStyle w:val="3"/>
        <w:spacing w:after="156" w:afterLines="50"/>
        <w:ind w:firstLine="420"/>
        <w:jc w:val="left"/>
      </w:pPr>
      <w:r>
        <w:rPr>
          <w:rFonts w:hint="eastAsia"/>
        </w:rPr>
        <w:t>下图为整个计算域内风速分布云图，参考图中速度分布可以对项目中建筑布局进行优化。分析下图</w:t>
      </w:r>
      <w:r>
        <w:rPr>
          <w:rFonts w:hint="eastAsia"/>
          <w:lang w:val="en-US"/>
        </w:rPr>
        <w:t>，</w:t>
      </w:r>
      <w:bookmarkStart w:id="120" w:name="人活动区风速分析结论"/>
      <w:bookmarkEnd w:id="120"/>
      <w:r>
        <w:t>人活动区内未标示出风速</w:t>
      </w:r>
      <w:r>
        <w:rPr>
          <w:color w:val="0000FF"/>
        </w:rPr>
        <w:t>小于</w:t>
      </w:r>
      <w:r>
        <w:t>0.2m/s的超限区域，因此人活动区风速</w:t>
      </w:r>
      <w:r>
        <w:rPr>
          <w:color w:val="0000FF"/>
        </w:rPr>
        <w:t>满足</w:t>
      </w:r>
      <w:r>
        <w:t>绿标要求，项目可采用现有建筑布局。</w:t>
      </w:r>
    </w:p>
    <w:p w14:paraId="5719C665">
      <w:pPr>
        <w:pStyle w:val="3"/>
        <w:spacing w:after="156" w:afterLines="50"/>
        <w:ind w:firstLine="0" w:firstLineChars="0"/>
        <w:jc w:val="center"/>
      </w:pPr>
      <w:bookmarkStart w:id="121" w:name="人行区风速云图"/>
      <w:bookmarkEnd w:id="121"/>
      <w:r>
        <w:drawing>
          <wp:inline distT="0" distB="0" distL="0" distR="0">
            <wp:extent cx="5667375" cy="33909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77"/>
                    <a:stretch>
                      <a:fillRect/>
                    </a:stretch>
                  </pic:blipFill>
                  <pic:spPr>
                    <a:xfrm>
                      <a:off x="0" y="0"/>
                      <a:ext cx="5667375" cy="3390900"/>
                    </a:xfrm>
                    <a:prstGeom prst="rect">
                      <a:avLst/>
                    </a:prstGeom>
                  </pic:spPr>
                </pic:pic>
              </a:graphicData>
            </a:graphic>
          </wp:inline>
        </w:drawing>
      </w:r>
    </w:p>
    <w:p w14:paraId="64FE6B85">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计算域内-1.5米高度水平面风速云图-夏季</w:t>
      </w:r>
    </w:p>
    <w:p w14:paraId="5677A827">
      <w:pPr>
        <w:pStyle w:val="3"/>
        <w:ind w:firstLine="420"/>
      </w:pPr>
    </w:p>
    <w:p w14:paraId="1A12948A">
      <w:pPr>
        <w:pStyle w:val="5"/>
      </w:pPr>
      <w:bookmarkStart w:id="122" w:name="_Toc509844761"/>
      <w:bookmarkStart w:id="123" w:name="_Toc994"/>
      <w:r>
        <w:rPr>
          <w:rFonts w:hint="eastAsia"/>
        </w:rPr>
        <w:t>旋涡区分析</w:t>
      </w:r>
      <w:bookmarkEnd w:id="122"/>
      <w:bookmarkEnd w:id="123"/>
    </w:p>
    <w:p w14:paraId="1D5E8303">
      <w:pPr>
        <w:pStyle w:val="3"/>
        <w:ind w:firstLine="420"/>
        <w:rPr>
          <w:lang w:val="en-US"/>
        </w:rPr>
      </w:pPr>
      <w:r>
        <w:rPr>
          <w:rFonts w:hint="eastAsia"/>
          <w:lang w:val="en-US"/>
        </w:rPr>
        <w:t>下图为计算域内的风速矢量图，分析下图可知，计算域内没有明显的旋涡产生，本项目建筑布局基本合理。</w:t>
      </w:r>
    </w:p>
    <w:p w14:paraId="5236C76D">
      <w:pPr>
        <w:pStyle w:val="3"/>
        <w:ind w:firstLine="0" w:firstLineChars="0"/>
        <w:jc w:val="center"/>
        <w:rPr>
          <w:lang w:val="en-US"/>
        </w:rPr>
      </w:pPr>
      <w:bookmarkStart w:id="124" w:name="人行区风速矢量图"/>
      <w:bookmarkEnd w:id="124"/>
      <w:r>
        <w:drawing>
          <wp:inline distT="0" distB="0" distL="0" distR="0">
            <wp:extent cx="5667375" cy="339090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pic:cNvPicPr>
                  </pic:nvPicPr>
                  <pic:blipFill>
                    <a:blip r:embed="rId78"/>
                    <a:stretch>
                      <a:fillRect/>
                    </a:stretch>
                  </pic:blipFill>
                  <pic:spPr>
                    <a:xfrm>
                      <a:off x="0" y="0"/>
                      <a:ext cx="5667375" cy="3390900"/>
                    </a:xfrm>
                    <a:prstGeom prst="rect">
                      <a:avLst/>
                    </a:prstGeom>
                  </pic:spPr>
                </pic:pic>
              </a:graphicData>
            </a:graphic>
          </wp:inline>
        </w:drawing>
      </w:r>
    </w:p>
    <w:p w14:paraId="4BEC67C9">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计算域内-1.5米高度水平面风速矢量图</w:t>
      </w:r>
    </w:p>
    <w:p w14:paraId="4B99B522">
      <w:pPr>
        <w:pStyle w:val="3"/>
        <w:ind w:firstLine="420"/>
        <w:rPr>
          <w:lang w:val="en-US"/>
        </w:rPr>
      </w:pPr>
    </w:p>
    <w:p w14:paraId="7BD1009F">
      <w:pPr>
        <w:pStyle w:val="5"/>
      </w:pPr>
      <w:bookmarkStart w:id="125" w:name="_Toc509844762"/>
      <w:bookmarkStart w:id="126" w:name="_Toc15434"/>
      <w:r>
        <w:rPr>
          <w:rFonts w:hint="eastAsia"/>
        </w:rPr>
        <w:t>旋涡区/无风区达标</w:t>
      </w:r>
      <w:bookmarkEnd w:id="125"/>
      <w:r>
        <w:rPr>
          <w:rFonts w:hint="eastAsia"/>
        </w:rPr>
        <w:t>结果汇总</w:t>
      </w:r>
      <w:bookmarkEnd w:id="126"/>
    </w:p>
    <w:p w14:paraId="62F1DA60">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127" w:name="季节8"/>
      <w:r>
        <w:rPr>
          <w:rFonts w:hint="eastAsia" w:ascii="黑体" w:hAnsi="黑体" w:eastAsia="黑体"/>
          <w:sz w:val="20"/>
          <w:szCs w:val="20"/>
        </w:rPr>
        <w:t>夏季</w:t>
      </w:r>
      <w:bookmarkEnd w:id="127"/>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14:paraId="2A6CEDDC">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3A14E">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6B8B1812">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5E2298B1">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C32FB40">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6BD6CE64">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5DEFF921">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14:paraId="602DF65E">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14:paraId="77323519">
            <w:pPr>
              <w:spacing w:line="240" w:lineRule="auto"/>
              <w:jc w:val="center"/>
              <w:rPr>
                <w:rFonts w:ascii="宋体" w:hAnsi="宋体" w:cs="宋体"/>
                <w:color w:val="000000"/>
                <w:sz w:val="22"/>
                <w:szCs w:val="22"/>
                <w:lang w:val="en-US"/>
              </w:rPr>
            </w:pPr>
            <w:bookmarkStart w:id="128" w:name="是否有无风区"/>
            <w:r>
              <w:rPr>
                <w:rFonts w:hint="eastAsia" w:ascii="宋体" w:hAnsi="宋体" w:cs="宋体"/>
                <w:color w:val="000000"/>
                <w:sz w:val="22"/>
                <w:szCs w:val="22"/>
                <w:lang w:val="en-US"/>
              </w:rPr>
              <w:t>否</w:t>
            </w:r>
            <w:bookmarkEnd w:id="128"/>
          </w:p>
        </w:tc>
        <w:tc>
          <w:tcPr>
            <w:tcW w:w="1276" w:type="dxa"/>
            <w:tcBorders>
              <w:top w:val="nil"/>
              <w:left w:val="nil"/>
              <w:bottom w:val="single" w:color="auto" w:sz="4" w:space="0"/>
              <w:right w:val="single" w:color="auto" w:sz="4" w:space="0"/>
            </w:tcBorders>
            <w:shd w:val="clear" w:color="auto" w:fill="auto"/>
            <w:noWrap/>
            <w:vAlign w:val="center"/>
          </w:tcPr>
          <w:p w14:paraId="6DD2F3AF">
            <w:pPr>
              <w:spacing w:line="240" w:lineRule="auto"/>
              <w:jc w:val="center"/>
              <w:rPr>
                <w:rFonts w:ascii="宋体" w:hAnsi="宋体" w:cs="宋体"/>
                <w:color w:val="000000"/>
                <w:sz w:val="22"/>
                <w:szCs w:val="22"/>
                <w:lang w:val="en-US"/>
              </w:rPr>
            </w:pPr>
            <w:bookmarkStart w:id="129" w:name="无风区达标判断"/>
            <w:r>
              <w:rPr>
                <w:rFonts w:hint="eastAsia" w:ascii="宋体" w:hAnsi="宋体" w:cs="宋体"/>
                <w:color w:val="000000"/>
                <w:sz w:val="22"/>
                <w:szCs w:val="22"/>
                <w:lang w:val="en-US"/>
              </w:rPr>
              <w:t>是</w:t>
            </w:r>
            <w:bookmarkEnd w:id="129"/>
          </w:p>
        </w:tc>
      </w:tr>
      <w:tr w14:paraId="2C7A6259">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560475AC">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14:paraId="0C7745DA">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14:paraId="2DB4756A">
            <w:pPr>
              <w:spacing w:line="240" w:lineRule="auto"/>
              <w:jc w:val="center"/>
              <w:rPr>
                <w:rFonts w:ascii="宋体" w:hAnsi="宋体" w:cs="宋体"/>
                <w:color w:val="000000"/>
                <w:sz w:val="22"/>
                <w:szCs w:val="22"/>
                <w:lang w:val="en-US"/>
              </w:rPr>
            </w:pPr>
            <w:bookmarkStart w:id="130" w:name="是否有旋涡区"/>
            <w:r>
              <w:rPr>
                <w:rFonts w:ascii="宋体" w:hAnsi="宋体" w:cs="宋体"/>
                <w:color w:val="000000"/>
                <w:sz w:val="22"/>
                <w:szCs w:val="22"/>
                <w:lang w:val="en-US"/>
              </w:rPr>
              <w:t>否</w:t>
            </w:r>
            <w:bookmarkEnd w:id="130"/>
          </w:p>
        </w:tc>
        <w:tc>
          <w:tcPr>
            <w:tcW w:w="1276" w:type="dxa"/>
            <w:tcBorders>
              <w:top w:val="nil"/>
              <w:left w:val="nil"/>
              <w:bottom w:val="single" w:color="auto" w:sz="4" w:space="0"/>
              <w:right w:val="single" w:color="auto" w:sz="4" w:space="0"/>
            </w:tcBorders>
            <w:shd w:val="clear" w:color="auto" w:fill="auto"/>
            <w:noWrap/>
            <w:vAlign w:val="center"/>
          </w:tcPr>
          <w:p w14:paraId="65EAE446">
            <w:pPr>
              <w:spacing w:line="240" w:lineRule="auto"/>
              <w:jc w:val="center"/>
              <w:rPr>
                <w:rFonts w:ascii="宋体" w:hAnsi="宋体" w:cs="宋体"/>
                <w:color w:val="000000"/>
                <w:sz w:val="22"/>
                <w:szCs w:val="22"/>
                <w:lang w:val="en-US"/>
              </w:rPr>
            </w:pPr>
            <w:bookmarkStart w:id="131" w:name="旋涡区达标判断"/>
            <w:r>
              <w:rPr>
                <w:rFonts w:ascii="宋体" w:hAnsi="宋体" w:cs="宋体"/>
                <w:color w:val="000000"/>
                <w:sz w:val="22"/>
                <w:szCs w:val="22"/>
                <w:lang w:val="en-US"/>
              </w:rPr>
              <w:t>是</w:t>
            </w:r>
            <w:bookmarkEnd w:id="131"/>
          </w:p>
        </w:tc>
      </w:tr>
    </w:tbl>
    <w:p w14:paraId="45A868F7">
      <w:pPr>
        <w:pStyle w:val="5"/>
      </w:pPr>
      <w:bookmarkStart w:id="132" w:name="_Toc504501018"/>
      <w:bookmarkStart w:id="133" w:name="_Toc509844763"/>
      <w:bookmarkStart w:id="134" w:name="_Toc2937"/>
      <w:r>
        <w:rPr>
          <w:rFonts w:hint="eastAsia"/>
        </w:rPr>
        <w:t>外窗内外表面风压</w:t>
      </w:r>
      <w:bookmarkEnd w:id="132"/>
      <w:r>
        <w:rPr>
          <w:rFonts w:hint="eastAsia"/>
        </w:rPr>
        <w:t>差达标分析</w:t>
      </w:r>
      <w:bookmarkEnd w:id="133"/>
      <w:bookmarkEnd w:id="134"/>
    </w:p>
    <w:p w14:paraId="1051D740">
      <w:pPr>
        <w:pStyle w:val="3"/>
        <w:ind w:firstLine="420"/>
      </w:pPr>
      <w:r>
        <w:rPr>
          <w:rFonts w:hint="eastAsia"/>
          <w:lang w:val="en-US"/>
        </w:rPr>
        <w:t>分析《绿色建筑评价标准》，</w:t>
      </w:r>
      <w:bookmarkStart w:id="135" w:name="季节9"/>
      <w:r>
        <w:rPr>
          <w:rFonts w:hint="eastAsia"/>
          <w:lang w:val="en-US"/>
        </w:rPr>
        <w:t>夏季</w:t>
      </w:r>
      <w:bookmarkEnd w:id="135"/>
      <w:r>
        <w:rPr>
          <w:rFonts w:hint="eastAsia"/>
          <w:lang w:val="en-US"/>
        </w:rPr>
        <w:t>为充分利用自然通风获得良好的室内风环境，要求50%以上可开启外窗室内外表面的风压差大于0.5Pa。</w:t>
      </w:r>
    </w:p>
    <w:p w14:paraId="4C086AFE">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14:paraId="2077EA57">
      <w:pPr>
        <w:pStyle w:val="3"/>
        <w:ind w:firstLine="420"/>
      </w:pPr>
      <w:r>
        <w:rPr>
          <w:rFonts w:hint="eastAsia"/>
          <w:lang w:val="en-US"/>
        </w:rPr>
        <w:t>下图为夏季工况下，建筑迎风面和背风面对应外窗表面的风压分布图，结合图例数值可以清晰看到外窗表面风压小于0.5Pa的外窗区域。</w:t>
      </w:r>
    </w:p>
    <w:p w14:paraId="445A5057">
      <w:pPr>
        <w:pStyle w:val="3"/>
        <w:ind w:firstLine="0" w:firstLineChars="0"/>
        <w:jc w:val="center"/>
      </w:pPr>
      <w:bookmarkStart w:id="136" w:name="迎风面风压云图"/>
      <w:bookmarkEnd w:id="136"/>
      <w:r>
        <w:drawing>
          <wp:inline distT="0" distB="0" distL="0" distR="0">
            <wp:extent cx="5667375" cy="335280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79"/>
                    <a:stretch>
                      <a:fillRect/>
                    </a:stretch>
                  </pic:blipFill>
                  <pic:spPr>
                    <a:xfrm>
                      <a:off x="0" y="0"/>
                      <a:ext cx="5667375" cy="3352800"/>
                    </a:xfrm>
                    <a:prstGeom prst="rect">
                      <a:avLst/>
                    </a:prstGeom>
                  </pic:spPr>
                </pic:pic>
              </a:graphicData>
            </a:graphic>
          </wp:inline>
        </w:drawing>
      </w:r>
    </w:p>
    <w:p w14:paraId="07B679C5">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37" w:name="季节10"/>
      <w:r>
        <w:rPr>
          <w:rFonts w:hint="eastAsia" w:ascii="黑体" w:hAnsi="黑体" w:eastAsia="黑体"/>
          <w:sz w:val="20"/>
          <w:szCs w:val="20"/>
        </w:rPr>
        <w:t>夏季</w:t>
      </w:r>
      <w:bookmarkEnd w:id="137"/>
    </w:p>
    <w:p w14:paraId="6D2DF0C1">
      <w:pPr>
        <w:jc w:val="center"/>
      </w:pPr>
      <w:bookmarkStart w:id="138" w:name="背风面风压云图"/>
      <w:bookmarkEnd w:id="138"/>
      <w:r>
        <w:drawing>
          <wp:inline distT="0" distB="0" distL="0" distR="0">
            <wp:extent cx="5667375" cy="336232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80"/>
                    <a:stretch>
                      <a:fillRect/>
                    </a:stretch>
                  </pic:blipFill>
                  <pic:spPr>
                    <a:xfrm>
                      <a:off x="0" y="0"/>
                      <a:ext cx="5667375" cy="3362325"/>
                    </a:xfrm>
                    <a:prstGeom prst="rect">
                      <a:avLst/>
                    </a:prstGeom>
                  </pic:spPr>
                </pic:pic>
              </a:graphicData>
            </a:graphic>
          </wp:inline>
        </w:drawing>
      </w:r>
    </w:p>
    <w:p w14:paraId="16340CD1">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39" w:name="季节11"/>
      <w:r>
        <w:rPr>
          <w:rFonts w:hint="eastAsia" w:ascii="黑体" w:hAnsi="黑体" w:eastAsia="黑体"/>
          <w:sz w:val="20"/>
          <w:szCs w:val="20"/>
        </w:rPr>
        <w:t>夏季</w:t>
      </w:r>
      <w:bookmarkEnd w:id="139"/>
      <w:r>
        <w:rPr>
          <w:rFonts w:hint="eastAsia"/>
        </w:rPr>
        <w:t xml:space="preserve"> </w:t>
      </w:r>
    </w:p>
    <w:p w14:paraId="564B9C0B">
      <w:r>
        <w:rPr>
          <w:rFonts w:hint="eastAsia"/>
        </w:rPr>
        <w:t>下表为依据上图提取的外窗外表面平均风压数据，相当于外窗室内外表面风压差数据，并依据标准做出达标判断：</w:t>
      </w:r>
    </w:p>
    <w:p w14:paraId="33EAEB14">
      <w:pPr>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5.3</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14:paraId="263D6D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14:paraId="2B2569BD">
            <w:pPr>
              <w:jc w:val="center"/>
              <w:rPr>
                <w:lang w:val="en-US"/>
              </w:rPr>
            </w:pPr>
            <w:bookmarkStart w:id="140" w:name="建筑外窗室内外风压差达标判定"/>
            <w:r>
              <w:rPr>
                <w:rFonts w:hint="eastAsia"/>
                <w:lang w:val="en-US"/>
              </w:rPr>
              <w:t>建筑编号</w:t>
            </w:r>
          </w:p>
        </w:tc>
        <w:tc>
          <w:tcPr>
            <w:tcW w:w="1134" w:type="dxa"/>
            <w:shd w:val="clear" w:color="auto" w:fill="E6E6E6"/>
            <w:vAlign w:val="center"/>
          </w:tcPr>
          <w:p w14:paraId="56276462">
            <w:pPr>
              <w:jc w:val="center"/>
              <w:rPr>
                <w:lang w:val="en-US"/>
              </w:rPr>
            </w:pPr>
            <w:r>
              <w:rPr>
                <w:rFonts w:hint="eastAsia"/>
                <w:lang w:val="en-US"/>
              </w:rPr>
              <w:t>可开启外窗总数</w:t>
            </w:r>
          </w:p>
        </w:tc>
        <w:tc>
          <w:tcPr>
            <w:tcW w:w="1984" w:type="dxa"/>
            <w:shd w:val="clear" w:color="auto" w:fill="E6E6E6"/>
            <w:vAlign w:val="center"/>
          </w:tcPr>
          <w:p w14:paraId="21E0B22E">
            <w:pPr>
              <w:jc w:val="center"/>
              <w:rPr>
                <w:lang w:val="en-US"/>
              </w:rPr>
            </w:pPr>
            <w:r>
              <w:rPr>
                <w:rFonts w:hint="eastAsia"/>
                <w:lang w:val="en-US"/>
              </w:rPr>
              <w:t>室内外风压差大于0.5Pa的外窗总数</w:t>
            </w:r>
          </w:p>
        </w:tc>
        <w:tc>
          <w:tcPr>
            <w:tcW w:w="1116" w:type="dxa"/>
            <w:shd w:val="clear" w:color="auto" w:fill="E6E6E6"/>
            <w:vAlign w:val="center"/>
          </w:tcPr>
          <w:p w14:paraId="570C0720">
            <w:pPr>
              <w:jc w:val="center"/>
              <w:rPr>
                <w:lang w:val="en-US"/>
              </w:rPr>
            </w:pPr>
            <w:r>
              <w:rPr>
                <w:rFonts w:hint="eastAsia"/>
                <w:lang w:val="en-US"/>
              </w:rPr>
              <w:t>达标比例（%）</w:t>
            </w:r>
          </w:p>
        </w:tc>
        <w:tc>
          <w:tcPr>
            <w:tcW w:w="708" w:type="dxa"/>
            <w:shd w:val="clear" w:color="auto" w:fill="E6E6E6"/>
            <w:vAlign w:val="center"/>
          </w:tcPr>
          <w:p w14:paraId="1536CC7B">
            <w:pPr>
              <w:jc w:val="center"/>
              <w:rPr>
                <w:lang w:val="en-US"/>
              </w:rPr>
            </w:pPr>
            <w:r>
              <w:rPr>
                <w:rFonts w:hint="eastAsia"/>
                <w:lang w:val="en-US"/>
              </w:rPr>
              <w:t>是否达标</w:t>
            </w:r>
          </w:p>
        </w:tc>
      </w:tr>
      <w:tr w14:paraId="0B495B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14:paraId="374E9EB4">
            <w:pPr>
              <w:jc w:val="center"/>
              <w:rPr>
                <w:lang w:val="en-US"/>
              </w:rPr>
            </w:pPr>
            <w:r>
              <w:rPr>
                <w:lang w:val="en-US"/>
              </w:rPr>
              <w:t>1</w:t>
            </w:r>
          </w:p>
        </w:tc>
        <w:tc>
          <w:tcPr>
            <w:tcW w:w="1134" w:type="dxa"/>
            <w:shd w:val="clear" w:color="auto" w:fill="auto"/>
            <w:vAlign w:val="center"/>
          </w:tcPr>
          <w:p w14:paraId="6B87644B">
            <w:pPr>
              <w:jc w:val="center"/>
              <w:rPr>
                <w:lang w:val="en-US"/>
              </w:rPr>
            </w:pPr>
            <w:r>
              <w:rPr>
                <w:lang w:val="en-US"/>
              </w:rPr>
              <w:t>160</w:t>
            </w:r>
          </w:p>
        </w:tc>
        <w:tc>
          <w:tcPr>
            <w:tcW w:w="1984" w:type="dxa"/>
            <w:shd w:val="clear" w:color="auto" w:fill="auto"/>
            <w:vAlign w:val="center"/>
          </w:tcPr>
          <w:p w14:paraId="30C31338">
            <w:pPr>
              <w:jc w:val="center"/>
              <w:rPr>
                <w:lang w:val="en-US"/>
              </w:rPr>
            </w:pPr>
            <w:r>
              <w:rPr>
                <w:lang w:val="en-US"/>
              </w:rPr>
              <w:t>157</w:t>
            </w:r>
          </w:p>
        </w:tc>
        <w:tc>
          <w:tcPr>
            <w:tcW w:w="1116" w:type="dxa"/>
            <w:shd w:val="clear" w:color="auto" w:fill="auto"/>
            <w:vAlign w:val="center"/>
          </w:tcPr>
          <w:p w14:paraId="7E049C7B">
            <w:pPr>
              <w:jc w:val="center"/>
              <w:rPr>
                <w:lang w:val="en-US"/>
              </w:rPr>
            </w:pPr>
            <w:r>
              <w:rPr>
                <w:lang w:val="en-US"/>
              </w:rPr>
              <w:t>98.13</w:t>
            </w:r>
          </w:p>
        </w:tc>
        <w:tc>
          <w:tcPr>
            <w:tcW w:w="708" w:type="dxa"/>
            <w:shd w:val="clear" w:color="auto" w:fill="auto"/>
            <w:vAlign w:val="center"/>
          </w:tcPr>
          <w:p w14:paraId="6D175A16">
            <w:pPr>
              <w:jc w:val="center"/>
              <w:rPr>
                <w:lang w:val="en-US"/>
              </w:rPr>
            </w:pPr>
            <w:r>
              <w:rPr>
                <w:lang w:val="en-US"/>
              </w:rPr>
              <w:t>是</w:t>
            </w:r>
          </w:p>
        </w:tc>
      </w:tr>
      <w:bookmarkEnd w:id="140"/>
    </w:tbl>
    <w:p w14:paraId="5EE28DE2">
      <w:r>
        <w:rPr>
          <w:rFonts w:hint="eastAsia"/>
          <w:lang w:val="en-US"/>
        </w:rPr>
        <w:t>说明：达标比例＝（室内外风压差大于0.5Pa的总数/可开启外窗总数）*100％</w:t>
      </w:r>
    </w:p>
    <w:bookmarkEnd w:id="30"/>
    <w:p w14:paraId="70E22332">
      <w:pPr>
        <w:rPr>
          <w:lang w:val="en-US"/>
        </w:rPr>
      </w:pPr>
    </w:p>
    <w:p w14:paraId="16ED76CA">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363A3265">
      <w:pPr>
        <w:jc w:val="center"/>
      </w:pPr>
      <w:r>
        <w:rPr>
          <w:rFonts w:hint="eastAsia"/>
        </w:rPr>
        <w:t>表</w:t>
      </w:r>
      <w:r>
        <w:t xml:space="preserve"> </w:t>
      </w:r>
      <w:r>
        <w:fldChar w:fldCharType="begin"/>
      </w:r>
      <w:r>
        <w:instrText xml:space="preserve"> STYLEREF 2 \s </w:instrText>
      </w:r>
      <w:r>
        <w:fldChar w:fldCharType="separate"/>
      </w:r>
      <w:r>
        <w:t>5.3</w:t>
      </w:r>
      <w:r>
        <w:fldChar w:fldCharType="end"/>
      </w:r>
      <w:r>
        <w:noBreakHyphen/>
      </w:r>
      <w:r>
        <w:fldChar w:fldCharType="begin"/>
      </w:r>
      <w:r>
        <w:instrText xml:space="preserve"> SEQ </w:instrText>
      </w:r>
      <w:r>
        <w:rPr>
          <w:rFonts w:hint="eastAsia"/>
        </w:rPr>
        <w:instrText xml:space="preserve">表</w:instrText>
      </w:r>
      <w:r>
        <w:instrText xml:space="preserve"> \* ARABIC \s 2 </w:instrText>
      </w:r>
      <w:r>
        <w:fldChar w:fldCharType="separate"/>
      </w:r>
      <w:r>
        <w:t>3</w:t>
      </w:r>
      <w:r>
        <w:fldChar w:fldCharType="end"/>
      </w:r>
      <w:r>
        <w:t xml:space="preserve">  </w:t>
      </w:r>
      <w:r>
        <w:rPr>
          <w:rFonts w:hint="eastAsia"/>
        </w:rPr>
        <w:t>建筑室内外风压差达标判定表</w:t>
      </w:r>
    </w:p>
    <w:tbl>
      <w:tblPr>
        <w:tblStyle w:val="21"/>
        <w:tblW w:w="0" w:type="auto"/>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3104"/>
        <w:gridCol w:w="1417"/>
        <w:gridCol w:w="2552"/>
        <w:gridCol w:w="1134"/>
        <w:gridCol w:w="835"/>
      </w:tblGrid>
      <w:tr w14:paraId="78F464C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shd w:val="clear" w:color="auto" w:fill="E6E6E6"/>
            <w:vAlign w:val="center"/>
          </w:tcPr>
          <w:p w14:paraId="2DF79739">
            <w:pPr>
              <w:spacing w:line="360" w:lineRule="exact"/>
              <w:jc w:val="center"/>
              <w:rPr>
                <w:lang w:val="en-US"/>
              </w:rPr>
            </w:pPr>
            <w:bookmarkStart w:id="141" w:name="建筑室内外风压差达标判定"/>
            <w:r>
              <w:rPr>
                <w:rFonts w:hint="eastAsia"/>
                <w:lang w:val="en-US"/>
              </w:rPr>
              <w:t>建筑编号</w:t>
            </w:r>
          </w:p>
        </w:tc>
        <w:tc>
          <w:tcPr>
            <w:tcW w:w="1417" w:type="dxa"/>
            <w:shd w:val="clear" w:color="auto" w:fill="E6E6E6"/>
            <w:vAlign w:val="center"/>
          </w:tcPr>
          <w:p w14:paraId="39FC495D">
            <w:pPr>
              <w:spacing w:line="360" w:lineRule="exact"/>
              <w:jc w:val="center"/>
              <w:rPr>
                <w:lang w:val="en-US"/>
              </w:rPr>
            </w:pPr>
            <w:r>
              <w:rPr>
                <w:rFonts w:hint="eastAsia"/>
                <w:lang w:val="en-US"/>
              </w:rPr>
              <w:t>建筑表面积（㎡）</w:t>
            </w:r>
          </w:p>
        </w:tc>
        <w:tc>
          <w:tcPr>
            <w:tcW w:w="2552" w:type="dxa"/>
            <w:shd w:val="clear" w:color="auto" w:fill="E6E6E6"/>
            <w:vAlign w:val="center"/>
          </w:tcPr>
          <w:p w14:paraId="7C97F3E7">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tcPr>
          <w:p w14:paraId="2C541C23">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tcPr>
          <w:p w14:paraId="2943BAD7">
            <w:pPr>
              <w:spacing w:line="360" w:lineRule="exact"/>
              <w:jc w:val="center"/>
              <w:rPr>
                <w:lang w:val="en-US"/>
              </w:rPr>
            </w:pPr>
            <w:r>
              <w:rPr>
                <w:rFonts w:hint="eastAsia"/>
                <w:lang w:val="en-US"/>
              </w:rPr>
              <w:t>是否达标</w:t>
            </w:r>
          </w:p>
        </w:tc>
      </w:tr>
      <w:tr w14:paraId="4A9530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14:paraId="24DF3644">
            <w:pPr>
              <w:spacing w:line="360" w:lineRule="exact"/>
              <w:jc w:val="center"/>
              <w:rPr>
                <w:lang w:val="en-US"/>
              </w:rPr>
            </w:pPr>
            <w:r>
              <w:rPr>
                <w:lang w:val="en-US"/>
              </w:rPr>
              <w:t>未命名</w:t>
            </w:r>
          </w:p>
        </w:tc>
        <w:tc>
          <w:tcPr>
            <w:tcW w:w="1417" w:type="dxa"/>
            <w:vAlign w:val="center"/>
          </w:tcPr>
          <w:p w14:paraId="2C0A3FAD">
            <w:pPr>
              <w:spacing w:line="360" w:lineRule="exact"/>
              <w:jc w:val="center"/>
              <w:rPr>
                <w:lang w:val="en-US"/>
              </w:rPr>
            </w:pPr>
            <w:r>
              <w:rPr>
                <w:lang w:val="en-US"/>
              </w:rPr>
              <w:t>9496.90</w:t>
            </w:r>
          </w:p>
        </w:tc>
        <w:tc>
          <w:tcPr>
            <w:tcW w:w="2552" w:type="dxa"/>
            <w:vAlign w:val="center"/>
          </w:tcPr>
          <w:p w14:paraId="05B4A1AA">
            <w:pPr>
              <w:spacing w:line="360" w:lineRule="exact"/>
              <w:jc w:val="center"/>
              <w:rPr>
                <w:lang w:val="en-US"/>
              </w:rPr>
            </w:pPr>
            <w:r>
              <w:rPr>
                <w:lang w:val="en-US"/>
              </w:rPr>
              <w:t>8622.52</w:t>
            </w:r>
          </w:p>
        </w:tc>
        <w:tc>
          <w:tcPr>
            <w:tcW w:w="1134" w:type="dxa"/>
            <w:vAlign w:val="center"/>
          </w:tcPr>
          <w:p w14:paraId="7C062117">
            <w:pPr>
              <w:spacing w:line="360" w:lineRule="exact"/>
              <w:jc w:val="center"/>
              <w:rPr>
                <w:lang w:val="en-US"/>
              </w:rPr>
            </w:pPr>
            <w:r>
              <w:rPr>
                <w:lang w:val="en-US"/>
              </w:rPr>
              <w:t>90.79</w:t>
            </w:r>
          </w:p>
        </w:tc>
        <w:tc>
          <w:tcPr>
            <w:tcW w:w="835" w:type="dxa"/>
            <w:vAlign w:val="center"/>
          </w:tcPr>
          <w:p w14:paraId="5C44E82F">
            <w:pPr>
              <w:spacing w:line="360" w:lineRule="exact"/>
              <w:jc w:val="center"/>
              <w:rPr>
                <w:lang w:val="en-US"/>
              </w:rPr>
            </w:pPr>
            <w:r>
              <w:rPr>
                <w:lang w:val="en-US"/>
              </w:rPr>
              <w:t>是</w:t>
            </w:r>
          </w:p>
        </w:tc>
      </w:tr>
      <w:bookmarkEnd w:id="141"/>
    </w:tbl>
    <w:p w14:paraId="37C38353">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526B5F0A">
      <w:r>
        <w:rPr>
          <w:rFonts w:hint="eastAsia"/>
        </w:rPr>
        <w:t xml:space="preserve"> </w:t>
      </w:r>
      <w:bookmarkEnd w:id="31"/>
    </w:p>
    <w:p w14:paraId="442C2C5A">
      <w:pPr>
        <w:rPr>
          <w:lang w:val="en-US"/>
        </w:rPr>
      </w:pPr>
      <w:bookmarkStart w:id="142" w:name="建筑室内外风压差达标判定结论"/>
      <w:r>
        <w:rPr>
          <w:rFonts w:hint="eastAsia"/>
          <w:lang w:val="en-US"/>
        </w:rPr>
        <w:t>结论：本项目中所有建筑均满足“50%以上可开启外窗室内外表面的风压差大于0.5Pa”的要求。</w:t>
      </w:r>
      <w:bookmarkEnd w:id="142"/>
      <w:r>
        <w:rPr>
          <w:rFonts w:hint="eastAsia"/>
          <w:lang w:val="en-US"/>
        </w:rPr>
        <w:t xml:space="preserve"> </w:t>
      </w:r>
    </w:p>
    <w:p w14:paraId="04F2C849">
      <w:pPr>
        <w:rPr>
          <w:lang w:val="en-US"/>
        </w:rPr>
      </w:pPr>
      <w:bookmarkStart w:id="143" w:name="其他工况"/>
      <w:bookmarkEnd w:id="143"/>
      <w:r>
        <w:rPr>
          <w:rFonts w:hint="eastAsia"/>
          <w:lang w:val="en-US"/>
        </w:rPr>
        <w:t xml:space="preserve"> </w:t>
      </w:r>
    </w:p>
    <w:p w14:paraId="0317F589">
      <w:pPr>
        <w:pStyle w:val="4"/>
      </w:pPr>
      <w:bookmarkStart w:id="144" w:name="_Toc509844764"/>
      <w:bookmarkStart w:id="145" w:name="_Toc14955"/>
      <w:r>
        <w:rPr>
          <w:rFonts w:hint="eastAsia"/>
        </w:rPr>
        <w:t>结论</w:t>
      </w:r>
      <w:bookmarkEnd w:id="144"/>
      <w:bookmarkEnd w:id="145"/>
    </w:p>
    <w:p w14:paraId="661764A5">
      <w:pPr>
        <w:pStyle w:val="5"/>
      </w:pPr>
      <w:bookmarkStart w:id="146" w:name="_Toc509844765"/>
      <w:bookmarkStart w:id="147" w:name="_Toc1798"/>
      <w:r>
        <w:rPr>
          <w:rFonts w:hint="eastAsia"/>
        </w:rPr>
        <w:t>冬季工况达标判断</w:t>
      </w:r>
      <w:bookmarkEnd w:id="146"/>
      <w:bookmarkEnd w:id="147"/>
      <w:bookmarkStart w:id="148" w:name="_Toc509844766"/>
      <w:bookmarkEnd w:id="148"/>
    </w:p>
    <w:p w14:paraId="34FAD040">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29FA1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25A08426">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0BE9EF58">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2ACBD6CB">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17FDA16D">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36BACA30">
            <w:pPr>
              <w:jc w:val="center"/>
              <w:rPr>
                <w:lang w:val="en-US"/>
              </w:rPr>
            </w:pPr>
            <w:r>
              <w:rPr>
                <w:rFonts w:hint="eastAsia"/>
                <w:lang w:val="en-US"/>
              </w:rPr>
              <w:t>得分</w:t>
            </w:r>
          </w:p>
        </w:tc>
      </w:tr>
      <w:tr w14:paraId="0DE101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28E0599C">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14:paraId="1A3A89E6">
            <w:pPr>
              <w:rPr>
                <w:lang w:val="en-US"/>
              </w:rPr>
            </w:pPr>
            <w:r>
              <w:rPr>
                <w:rFonts w:hint="eastAsia"/>
                <w:lang w:val="en-US"/>
              </w:rPr>
              <w:t>建筑物周围人行区距地高1. 5m处风速小于5m/s, 户外休息区、儿童娱乐区风速小于2m/s, 且室外风速放大系数小于2, 得</w:t>
            </w:r>
            <w:bookmarkStart w:id="149" w:name="标准要求冬季风速得分"/>
            <w:r>
              <w:rPr>
                <w:rFonts w:hint="eastAsia"/>
                <w:lang w:val="en-US"/>
              </w:rPr>
              <w:t>3</w:t>
            </w:r>
            <w:bookmarkEnd w:id="149"/>
            <w:r>
              <w:rPr>
                <w:rFonts w:hint="eastAsia"/>
                <w:lang w:val="en-US"/>
              </w:rPr>
              <w:t>分；</w:t>
            </w:r>
          </w:p>
        </w:tc>
        <w:tc>
          <w:tcPr>
            <w:tcW w:w="1985" w:type="dxa"/>
            <w:tcBorders>
              <w:top w:val="single" w:color="auto" w:sz="4" w:space="0"/>
            </w:tcBorders>
            <w:shd w:val="clear" w:color="auto" w:fill="auto"/>
            <w:vAlign w:val="center"/>
          </w:tcPr>
          <w:p w14:paraId="4BBAEE5A">
            <w:pPr>
              <w:jc w:val="center"/>
              <w:rPr>
                <w:lang w:val="en-US"/>
              </w:rPr>
            </w:pPr>
            <w:r>
              <w:rPr>
                <w:rFonts w:hint="eastAsia"/>
                <w:lang w:val="en-US"/>
              </w:rPr>
              <w:t>计算域</w:t>
            </w:r>
            <w:bookmarkStart w:id="150" w:name="冬季风速结果计算域"/>
            <w:r>
              <w:t>没有出现</w:t>
            </w:r>
            <w:bookmarkEnd w:id="150"/>
            <w:r>
              <w:rPr>
                <w:rFonts w:hint="eastAsia"/>
                <w:lang w:val="en-US"/>
              </w:rPr>
              <w:t>风速大于</w:t>
            </w:r>
            <w:r>
              <w:rPr>
                <w:lang w:val="en-US"/>
              </w:rPr>
              <w:t>5m/s</w:t>
            </w:r>
            <w:r>
              <w:rPr>
                <w:rFonts w:hint="eastAsia"/>
                <w:lang w:val="en-US"/>
              </w:rPr>
              <w:t>的区域</w:t>
            </w:r>
          </w:p>
        </w:tc>
        <w:tc>
          <w:tcPr>
            <w:tcW w:w="1985" w:type="dxa"/>
            <w:vMerge w:val="restart"/>
            <w:tcBorders>
              <w:top w:val="single" w:color="auto" w:sz="4" w:space="0"/>
            </w:tcBorders>
            <w:shd w:val="clear" w:color="auto" w:fill="auto"/>
            <w:vAlign w:val="center"/>
          </w:tcPr>
          <w:p w14:paraId="1BE47E07">
            <w:pPr>
              <w:jc w:val="center"/>
              <w:rPr>
                <w:b/>
                <w:lang w:val="en-US"/>
              </w:rPr>
            </w:pPr>
            <w:bookmarkStart w:id="151" w:name="冬季风速达标判定"/>
            <w:r>
              <w:rPr>
                <w:rFonts w:hint="eastAsia"/>
                <w:b/>
                <w:lang w:val="en-US"/>
              </w:rPr>
              <w:t>达标</w:t>
            </w:r>
            <w:bookmarkEnd w:id="151"/>
          </w:p>
        </w:tc>
        <w:tc>
          <w:tcPr>
            <w:tcW w:w="1416" w:type="dxa"/>
            <w:vMerge w:val="restart"/>
            <w:tcBorders>
              <w:top w:val="single" w:color="auto" w:sz="4" w:space="0"/>
            </w:tcBorders>
            <w:shd w:val="clear" w:color="auto" w:fill="auto"/>
            <w:vAlign w:val="center"/>
          </w:tcPr>
          <w:p w14:paraId="3BB9BC0D">
            <w:pPr>
              <w:jc w:val="center"/>
              <w:rPr>
                <w:lang w:val="en-US"/>
              </w:rPr>
            </w:pPr>
            <w:bookmarkStart w:id="152" w:name="冬季风速得分"/>
            <w:r>
              <w:rPr>
                <w:rFonts w:hint="eastAsia"/>
                <w:lang w:val="en-US"/>
              </w:rPr>
              <w:t>3</w:t>
            </w:r>
            <w:bookmarkEnd w:id="152"/>
            <w:r>
              <w:rPr>
                <w:rFonts w:hint="eastAsia"/>
                <w:lang w:val="en-US"/>
              </w:rPr>
              <w:t>分</w:t>
            </w:r>
          </w:p>
        </w:tc>
      </w:tr>
      <w:tr w14:paraId="749C11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032AA000">
            <w:pPr>
              <w:jc w:val="center"/>
              <w:rPr>
                <w:lang w:val="en-US"/>
              </w:rPr>
            </w:pPr>
            <w:r>
              <w:rPr>
                <w:rFonts w:hint="eastAsia"/>
                <w:lang w:val="en-US"/>
              </w:rPr>
              <w:t>风速放大系数</w:t>
            </w:r>
          </w:p>
        </w:tc>
        <w:tc>
          <w:tcPr>
            <w:tcW w:w="1985" w:type="dxa"/>
            <w:vMerge w:val="continue"/>
            <w:shd w:val="clear" w:color="auto" w:fill="auto"/>
          </w:tcPr>
          <w:p w14:paraId="0B42E32C">
            <w:pPr>
              <w:jc w:val="center"/>
              <w:rPr>
                <w:lang w:val="en-US"/>
              </w:rPr>
            </w:pPr>
          </w:p>
        </w:tc>
        <w:tc>
          <w:tcPr>
            <w:tcW w:w="1985" w:type="dxa"/>
            <w:shd w:val="clear" w:color="auto" w:fill="auto"/>
            <w:vAlign w:val="center"/>
          </w:tcPr>
          <w:p w14:paraId="413C76F5">
            <w:pPr>
              <w:jc w:val="center"/>
              <w:rPr>
                <w:lang w:val="en-US"/>
              </w:rPr>
            </w:pPr>
            <w:r>
              <w:rPr>
                <w:rFonts w:hint="eastAsia"/>
                <w:lang w:val="en-US"/>
              </w:rPr>
              <w:t>计算域</w:t>
            </w:r>
            <w:bookmarkStart w:id="153" w:name="冬季风速放大系数结果计算域"/>
            <w:r>
              <w:t>没有出现</w:t>
            </w:r>
            <w:bookmarkEnd w:id="153"/>
            <w:r>
              <w:rPr>
                <w:rFonts w:hint="eastAsia"/>
                <w:lang w:val="en-US"/>
              </w:rPr>
              <w:t>风速放大系数大于等于2的区域</w:t>
            </w:r>
          </w:p>
        </w:tc>
        <w:tc>
          <w:tcPr>
            <w:tcW w:w="1985" w:type="dxa"/>
            <w:vMerge w:val="continue"/>
            <w:shd w:val="clear" w:color="auto" w:fill="auto"/>
          </w:tcPr>
          <w:p w14:paraId="0239E3F2">
            <w:pPr>
              <w:jc w:val="center"/>
              <w:rPr>
                <w:lang w:val="en-US"/>
              </w:rPr>
            </w:pPr>
          </w:p>
        </w:tc>
        <w:tc>
          <w:tcPr>
            <w:tcW w:w="1416" w:type="dxa"/>
            <w:vMerge w:val="continue"/>
            <w:shd w:val="clear" w:color="auto" w:fill="auto"/>
          </w:tcPr>
          <w:p w14:paraId="2A2DC53A">
            <w:pPr>
              <w:jc w:val="center"/>
              <w:rPr>
                <w:lang w:val="en-US"/>
              </w:rPr>
            </w:pPr>
          </w:p>
        </w:tc>
      </w:tr>
      <w:tr w14:paraId="25BC12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6679229F">
            <w:pPr>
              <w:jc w:val="center"/>
              <w:rPr>
                <w:lang w:val="en-US"/>
              </w:rPr>
            </w:pPr>
            <w:r>
              <w:rPr>
                <w:rFonts w:hint="eastAsia"/>
                <w:lang w:val="en-US"/>
              </w:rPr>
              <w:t>建筑迎风面/背风面风压值</w:t>
            </w:r>
          </w:p>
        </w:tc>
        <w:tc>
          <w:tcPr>
            <w:tcW w:w="1985" w:type="dxa"/>
            <w:shd w:val="clear" w:color="auto" w:fill="auto"/>
          </w:tcPr>
          <w:p w14:paraId="2591231E">
            <w:pPr>
              <w:jc w:val="center"/>
              <w:rPr>
                <w:lang w:val="en-US"/>
              </w:rPr>
            </w:pPr>
            <w:r>
              <w:rPr>
                <w:rFonts w:hint="eastAsia"/>
                <w:lang w:val="en-US"/>
              </w:rPr>
              <w:t>除迎风第一排建筑外，建筑迎风面与背风面表面风压差不超过5Pa，得</w:t>
            </w:r>
            <w:bookmarkStart w:id="154" w:name="标准要求冬季风压得分"/>
            <w:r>
              <w:rPr>
                <w:rFonts w:hint="eastAsia"/>
                <w:lang w:val="en-US"/>
              </w:rPr>
              <w:t>2</w:t>
            </w:r>
            <w:bookmarkEnd w:id="154"/>
            <w:r>
              <w:rPr>
                <w:rFonts w:hint="eastAsia"/>
                <w:lang w:val="en-US"/>
              </w:rPr>
              <w:t>分</w:t>
            </w:r>
            <w:r>
              <w:rPr>
                <w:lang w:val="en-US"/>
              </w:rPr>
              <w:t>未出现风速超标区域</w:t>
            </w:r>
          </w:p>
        </w:tc>
        <w:tc>
          <w:tcPr>
            <w:tcW w:w="1985" w:type="dxa"/>
            <w:shd w:val="clear" w:color="auto" w:fill="auto"/>
            <w:vAlign w:val="center"/>
          </w:tcPr>
          <w:p w14:paraId="62C3B0E1">
            <w:pPr>
              <w:jc w:val="center"/>
              <w:rPr>
                <w:lang w:val="en-US"/>
              </w:rPr>
            </w:pPr>
            <w:r>
              <w:rPr>
                <w:rFonts w:hint="eastAsia"/>
                <w:lang w:val="en-US"/>
              </w:rPr>
              <w:t>本项目</w:t>
            </w:r>
            <w:bookmarkStart w:id="155" w:name="冬季迎背风面结果"/>
            <w:r>
              <w:rPr>
                <w:color w:val="FF0000"/>
              </w:rPr>
              <w:t>出现</w:t>
            </w:r>
            <w:bookmarkEnd w:id="155"/>
            <w:r>
              <w:rPr>
                <w:rFonts w:hint="eastAsia"/>
                <w:lang w:val="en-US"/>
              </w:rPr>
              <w:t>建筑迎风面与背风面表面风压差大于5Pa的建筑</w:t>
            </w:r>
          </w:p>
        </w:tc>
        <w:tc>
          <w:tcPr>
            <w:tcW w:w="1985" w:type="dxa"/>
            <w:shd w:val="clear" w:color="auto" w:fill="auto"/>
            <w:vAlign w:val="center"/>
          </w:tcPr>
          <w:p w14:paraId="71649D33">
            <w:pPr>
              <w:jc w:val="center"/>
              <w:rPr>
                <w:lang w:val="en-US"/>
              </w:rPr>
            </w:pPr>
            <w:bookmarkStart w:id="156" w:name="冬季迎背风面达标判定"/>
            <w:r>
              <w:rPr>
                <w:rFonts w:hint="eastAsia"/>
                <w:b/>
                <w:color w:val="FF0000"/>
                <w:lang w:val="en-US"/>
              </w:rPr>
              <w:t>不达标</w:t>
            </w:r>
            <w:bookmarkEnd w:id="156"/>
          </w:p>
        </w:tc>
        <w:tc>
          <w:tcPr>
            <w:tcW w:w="1416" w:type="dxa"/>
            <w:shd w:val="clear" w:color="auto" w:fill="auto"/>
            <w:vAlign w:val="center"/>
          </w:tcPr>
          <w:p w14:paraId="762FBC7B">
            <w:pPr>
              <w:jc w:val="center"/>
              <w:rPr>
                <w:lang w:val="en-US"/>
              </w:rPr>
            </w:pPr>
            <w:bookmarkStart w:id="157" w:name="冬季迎背风面得分"/>
            <w:r>
              <w:rPr>
                <w:rFonts w:hint="eastAsia"/>
                <w:lang w:val="en-US"/>
              </w:rPr>
              <w:t>0</w:t>
            </w:r>
            <w:bookmarkEnd w:id="157"/>
            <w:r>
              <w:rPr>
                <w:rFonts w:hint="eastAsia"/>
                <w:lang w:val="en-US"/>
              </w:rPr>
              <w:t>分</w:t>
            </w:r>
          </w:p>
        </w:tc>
      </w:tr>
    </w:tbl>
    <w:p w14:paraId="39F0ABB5">
      <w:pPr>
        <w:rPr>
          <w:szCs w:val="21"/>
          <w:lang w:val="en-US"/>
        </w:rPr>
      </w:pPr>
      <w:bookmarkStart w:id="158" w:name="_Toc509844767"/>
      <w:bookmarkEnd w:id="158"/>
      <w:bookmarkStart w:id="159" w:name="_Toc509844768"/>
      <w:bookmarkEnd w:id="159"/>
    </w:p>
    <w:bookmarkEnd w:id="1"/>
    <w:p w14:paraId="2927F895">
      <w:pPr>
        <w:pStyle w:val="5"/>
      </w:pPr>
      <w:bookmarkStart w:id="160" w:name="_Toc509844769"/>
      <w:bookmarkStart w:id="161" w:name="_Toc18445"/>
      <w:r>
        <w:rPr>
          <w:rFonts w:hint="eastAsia"/>
        </w:rPr>
        <w:t>过渡季、夏季工况达标判断</w:t>
      </w:r>
      <w:bookmarkEnd w:id="160"/>
      <w:bookmarkEnd w:id="161"/>
    </w:p>
    <w:p w14:paraId="7400E240">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1DCF1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25994662">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397E48C1">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31B5C5AC">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7E90C630">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4638B62B">
            <w:pPr>
              <w:jc w:val="center"/>
              <w:rPr>
                <w:lang w:val="en-US"/>
              </w:rPr>
            </w:pPr>
            <w:r>
              <w:rPr>
                <w:rFonts w:hint="eastAsia"/>
                <w:lang w:val="en-US"/>
              </w:rPr>
              <w:t>得分</w:t>
            </w:r>
          </w:p>
        </w:tc>
      </w:tr>
      <w:tr w14:paraId="6CA3E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42284FC5">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14:paraId="5DA3947B">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62" w:name="标准要求夏季风速得分"/>
            <w:r>
              <w:rPr>
                <w:rFonts w:hint="eastAsia"/>
                <w:lang w:val="en-US"/>
              </w:rPr>
              <w:t>3</w:t>
            </w:r>
            <w:bookmarkEnd w:id="162"/>
            <w:r>
              <w:rPr>
                <w:rFonts w:hint="eastAsia"/>
                <w:lang w:val="en-US"/>
              </w:rPr>
              <w:t>分</w:t>
            </w:r>
            <w:r>
              <w:rPr>
                <w:lang w:val="en-US"/>
              </w:rPr>
              <w:t xml:space="preserve"> </w:t>
            </w:r>
          </w:p>
        </w:tc>
        <w:tc>
          <w:tcPr>
            <w:tcW w:w="1985" w:type="dxa"/>
            <w:tcBorders>
              <w:top w:val="single" w:color="auto" w:sz="4" w:space="0"/>
            </w:tcBorders>
            <w:shd w:val="clear" w:color="auto" w:fill="auto"/>
            <w:vAlign w:val="center"/>
          </w:tcPr>
          <w:p w14:paraId="5C0A511E">
            <w:pPr>
              <w:jc w:val="center"/>
              <w:rPr>
                <w:lang w:val="en-US"/>
              </w:rPr>
            </w:pPr>
            <w:r>
              <w:rPr>
                <w:rFonts w:hint="eastAsia"/>
                <w:lang w:val="en-US"/>
              </w:rPr>
              <w:t>计算域</w:t>
            </w:r>
            <w:bookmarkStart w:id="163" w:name="夏季无风区结果计算域"/>
            <w:r>
              <w:rPr>
                <w:rFonts w:hint="eastAsia"/>
                <w:lang w:val="en-US"/>
              </w:rPr>
              <w:t>无</w:t>
            </w:r>
            <w:bookmarkEnd w:id="163"/>
            <w:r>
              <w:rPr>
                <w:rFonts w:hint="eastAsia"/>
                <w:lang w:val="en-US"/>
              </w:rPr>
              <w:t>无风区</w:t>
            </w:r>
          </w:p>
        </w:tc>
        <w:tc>
          <w:tcPr>
            <w:tcW w:w="1985" w:type="dxa"/>
            <w:vMerge w:val="restart"/>
            <w:tcBorders>
              <w:top w:val="single" w:color="auto" w:sz="4" w:space="0"/>
            </w:tcBorders>
            <w:shd w:val="clear" w:color="auto" w:fill="auto"/>
            <w:vAlign w:val="center"/>
          </w:tcPr>
          <w:p w14:paraId="128B4A5F">
            <w:pPr>
              <w:jc w:val="center"/>
              <w:rPr>
                <w:lang w:val="en-US"/>
              </w:rPr>
            </w:pPr>
            <w:bookmarkStart w:id="164" w:name="夏季无风区达标判定"/>
            <w:r>
              <w:rPr>
                <w:rFonts w:hint="eastAsia"/>
                <w:b/>
                <w:lang w:val="en-US"/>
              </w:rPr>
              <w:t>达标</w:t>
            </w:r>
            <w:bookmarkEnd w:id="164"/>
          </w:p>
        </w:tc>
        <w:tc>
          <w:tcPr>
            <w:tcW w:w="1416" w:type="dxa"/>
            <w:vMerge w:val="restart"/>
            <w:tcBorders>
              <w:top w:val="single" w:color="auto" w:sz="4" w:space="0"/>
            </w:tcBorders>
            <w:shd w:val="clear" w:color="auto" w:fill="auto"/>
            <w:vAlign w:val="center"/>
          </w:tcPr>
          <w:p w14:paraId="231B362A">
            <w:pPr>
              <w:jc w:val="center"/>
              <w:rPr>
                <w:lang w:val="en-US"/>
              </w:rPr>
            </w:pPr>
            <w:bookmarkStart w:id="165" w:name="夏季无风区得分"/>
            <w:r>
              <w:rPr>
                <w:rFonts w:hint="eastAsia"/>
                <w:lang w:val="en-US"/>
              </w:rPr>
              <w:t>3</w:t>
            </w:r>
            <w:bookmarkEnd w:id="165"/>
            <w:r>
              <w:rPr>
                <w:rFonts w:hint="eastAsia"/>
                <w:lang w:val="en-US"/>
              </w:rPr>
              <w:t>分</w:t>
            </w:r>
          </w:p>
        </w:tc>
      </w:tr>
      <w:tr w14:paraId="7226D1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204BF3D0">
            <w:pPr>
              <w:jc w:val="center"/>
              <w:rPr>
                <w:lang w:val="en-US"/>
              </w:rPr>
            </w:pPr>
            <w:r>
              <w:rPr>
                <w:rFonts w:hint="eastAsia"/>
                <w:lang w:val="en-US"/>
              </w:rPr>
              <w:t>旋涡区</w:t>
            </w:r>
          </w:p>
        </w:tc>
        <w:tc>
          <w:tcPr>
            <w:tcW w:w="1985" w:type="dxa"/>
            <w:vMerge w:val="continue"/>
            <w:shd w:val="clear" w:color="auto" w:fill="auto"/>
          </w:tcPr>
          <w:p w14:paraId="640509CC">
            <w:pPr>
              <w:jc w:val="center"/>
              <w:rPr>
                <w:lang w:val="en-US"/>
              </w:rPr>
            </w:pPr>
          </w:p>
        </w:tc>
        <w:tc>
          <w:tcPr>
            <w:tcW w:w="1985" w:type="dxa"/>
            <w:shd w:val="clear" w:color="auto" w:fill="auto"/>
            <w:vAlign w:val="center"/>
          </w:tcPr>
          <w:p w14:paraId="177C45E0">
            <w:pPr>
              <w:jc w:val="center"/>
              <w:rPr>
                <w:lang w:val="en-US"/>
              </w:rPr>
            </w:pPr>
            <w:r>
              <w:rPr>
                <w:rFonts w:hint="eastAsia"/>
                <w:lang w:val="en-US"/>
              </w:rPr>
              <w:t>计算域无旋涡区</w:t>
            </w:r>
          </w:p>
        </w:tc>
        <w:tc>
          <w:tcPr>
            <w:tcW w:w="1985" w:type="dxa"/>
            <w:vMerge w:val="continue"/>
            <w:shd w:val="clear" w:color="auto" w:fill="auto"/>
          </w:tcPr>
          <w:p w14:paraId="09FD49E7">
            <w:pPr>
              <w:jc w:val="center"/>
              <w:rPr>
                <w:lang w:val="en-US"/>
              </w:rPr>
            </w:pPr>
          </w:p>
        </w:tc>
        <w:tc>
          <w:tcPr>
            <w:tcW w:w="1416" w:type="dxa"/>
            <w:vMerge w:val="continue"/>
            <w:shd w:val="clear" w:color="auto" w:fill="auto"/>
          </w:tcPr>
          <w:p w14:paraId="22C813D5">
            <w:pPr>
              <w:jc w:val="center"/>
              <w:rPr>
                <w:lang w:val="en-US"/>
              </w:rPr>
            </w:pPr>
          </w:p>
        </w:tc>
      </w:tr>
      <w:tr w14:paraId="29ECB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541D7F81">
            <w:pPr>
              <w:jc w:val="center"/>
              <w:rPr>
                <w:lang w:val="en-US"/>
              </w:rPr>
            </w:pPr>
            <w:r>
              <w:rPr>
                <w:rFonts w:hint="eastAsia"/>
                <w:lang w:val="en-US"/>
              </w:rPr>
              <w:t>外窗室内外表面的风压差</w:t>
            </w:r>
          </w:p>
        </w:tc>
        <w:tc>
          <w:tcPr>
            <w:tcW w:w="1985" w:type="dxa"/>
            <w:shd w:val="clear" w:color="auto" w:fill="auto"/>
          </w:tcPr>
          <w:p w14:paraId="0A0D6246">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bookmarkStart w:id="166" w:name="标准要求夏季风压得分"/>
            <w:r>
              <w:rPr>
                <w:rFonts w:hint="eastAsia"/>
                <w:lang w:val="en-US"/>
              </w:rPr>
              <w:t>2</w:t>
            </w:r>
            <w:bookmarkEnd w:id="166"/>
            <w:r>
              <w:rPr>
                <w:rFonts w:hint="eastAsia"/>
                <w:lang w:val="en-US"/>
              </w:rPr>
              <w:t>分。</w:t>
            </w:r>
          </w:p>
        </w:tc>
        <w:tc>
          <w:tcPr>
            <w:tcW w:w="1985" w:type="dxa"/>
            <w:shd w:val="clear" w:color="auto" w:fill="auto"/>
            <w:vAlign w:val="center"/>
          </w:tcPr>
          <w:p w14:paraId="3EAF04CD">
            <w:pPr>
              <w:jc w:val="center"/>
              <w:rPr>
                <w:lang w:val="en-US"/>
              </w:rPr>
            </w:pPr>
            <w:r>
              <w:rPr>
                <w:rFonts w:hint="eastAsia"/>
                <w:b/>
                <w:lang w:val="en-US"/>
              </w:rPr>
              <w:t>可开启外窗室内外表面的风压差</w:t>
            </w:r>
            <w:bookmarkStart w:id="167" w:name="夏季窗内外风压差结果"/>
            <w:r>
              <w:rPr>
                <w:rFonts w:hint="eastAsia"/>
                <w:lang w:val="en-US"/>
              </w:rPr>
              <w:t>满足</w:t>
            </w:r>
            <w:bookmarkEnd w:id="167"/>
            <w:r>
              <w:rPr>
                <w:rFonts w:hint="eastAsia"/>
                <w:lang w:val="en-US"/>
              </w:rPr>
              <w:t>标准要求</w:t>
            </w:r>
          </w:p>
        </w:tc>
        <w:tc>
          <w:tcPr>
            <w:tcW w:w="1985" w:type="dxa"/>
            <w:shd w:val="clear" w:color="auto" w:fill="auto"/>
            <w:vAlign w:val="center"/>
          </w:tcPr>
          <w:p w14:paraId="255D978B">
            <w:pPr>
              <w:jc w:val="center"/>
              <w:rPr>
                <w:b/>
                <w:lang w:val="en-US"/>
              </w:rPr>
            </w:pPr>
            <w:bookmarkStart w:id="168" w:name="夏季窗内外风压差达标判定"/>
            <w:r>
              <w:rPr>
                <w:rFonts w:hint="eastAsia"/>
                <w:b/>
                <w:lang w:val="en-US"/>
              </w:rPr>
              <w:t>达标</w:t>
            </w:r>
            <w:bookmarkEnd w:id="168"/>
          </w:p>
        </w:tc>
        <w:tc>
          <w:tcPr>
            <w:tcW w:w="1416" w:type="dxa"/>
            <w:shd w:val="clear" w:color="auto" w:fill="auto"/>
            <w:vAlign w:val="center"/>
          </w:tcPr>
          <w:p w14:paraId="5A562EE7">
            <w:pPr>
              <w:jc w:val="center"/>
              <w:rPr>
                <w:lang w:val="en-US"/>
              </w:rPr>
            </w:pPr>
            <w:bookmarkStart w:id="169" w:name="夏季窗内外风压差得分"/>
            <w:r>
              <w:rPr>
                <w:rFonts w:hint="eastAsia"/>
                <w:lang w:val="en-US"/>
              </w:rPr>
              <w:t>2</w:t>
            </w:r>
            <w:bookmarkEnd w:id="169"/>
            <w:r>
              <w:rPr>
                <w:rFonts w:hint="eastAsia"/>
                <w:lang w:val="en-US"/>
              </w:rPr>
              <w:t>分</w:t>
            </w:r>
          </w:p>
        </w:tc>
      </w:tr>
    </w:tbl>
    <w:p w14:paraId="515B5821">
      <w:pPr>
        <w:rPr>
          <w:szCs w:val="21"/>
          <w:lang w:val="en-US"/>
        </w:rPr>
      </w:pPr>
    </w:p>
    <w:p w14:paraId="711807C2">
      <w:pPr>
        <w:pStyle w:val="3"/>
        <w:ind w:firstLine="0" w:firstLineChars="0"/>
        <w:rPr>
          <w:lang w:val="en-US"/>
        </w:rPr>
      </w:pPr>
      <w:r>
        <w:rPr>
          <w:rFonts w:hint="eastAsia"/>
          <w:lang w:val="en-US"/>
        </w:rPr>
        <w:t>综合上述达标判断详表的信息，可知本项目得分为</w:t>
      </w:r>
      <w:bookmarkStart w:id="170" w:name="总得分"/>
      <w:r>
        <w:rPr>
          <w:rFonts w:hint="eastAsia"/>
          <w:lang w:val="en-US"/>
        </w:rPr>
        <w:t>8</w:t>
      </w:r>
      <w:bookmarkEnd w:id="170"/>
      <w:r>
        <w:rPr>
          <w:rFonts w:hint="eastAsia"/>
          <w:lang w:val="en-US"/>
        </w:rPr>
        <w:t>分。</w:t>
      </w:r>
    </w:p>
    <w:p w14:paraId="2EEEE966">
      <w:pPr>
        <w:pStyle w:val="4"/>
      </w:pPr>
      <w:bookmarkStart w:id="171" w:name="_Toc8525"/>
      <w:bookmarkStart w:id="172" w:name="附录"/>
      <w:r>
        <w:rPr>
          <w:rFonts w:hint="eastAsia"/>
        </w:rPr>
        <w:t>附录</w:t>
      </w:r>
      <w:bookmarkEnd w:id="171"/>
    </w:p>
    <w:p w14:paraId="02A89E8E">
      <w:pPr>
        <w:pStyle w:val="5"/>
      </w:pPr>
      <w:bookmarkStart w:id="173" w:name="_Toc5945"/>
      <w:r>
        <w:rPr>
          <w:rFonts w:hint="eastAsia"/>
        </w:rPr>
        <w:t>参评建筑迎背风面窗平均风压差表</w:t>
      </w:r>
      <w:bookmarkEnd w:id="173"/>
    </w:p>
    <w:p w14:paraId="020123C6">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5.5</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1</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74" w:name="建筑迎背风面风压差表_建筑名"/>
      <w:r>
        <w:rPr>
          <w:rFonts w:ascii="Cambria" w:hAnsi="Cambria" w:eastAsia="黑体"/>
          <w:sz w:val="20"/>
        </w:rPr>
        <w:t>1</w:t>
      </w:r>
      <w:bookmarkEnd w:id="174"/>
      <w:r>
        <w:rPr>
          <w:rFonts w:hint="eastAsia" w:ascii="Cambria" w:hAnsi="Cambria" w:eastAsia="黑体"/>
          <w:sz w:val="20"/>
        </w:rPr>
        <w:t>迎背风面窗平均风压差表</w:t>
      </w:r>
    </w:p>
    <w:tbl>
      <w:tblPr>
        <w:tblStyle w:val="21"/>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14:paraId="594F803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14:paraId="5D5C6568">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14:paraId="14193182">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14:paraId="6A85E42C">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14:paraId="71984F3B">
            <w:pPr>
              <w:spacing w:line="360" w:lineRule="exact"/>
              <w:jc w:val="center"/>
              <w:rPr>
                <w:lang w:val="en-US"/>
              </w:rPr>
            </w:pPr>
            <w:r>
              <w:rPr>
                <w:rFonts w:hint="eastAsia"/>
                <w:lang w:val="en-US"/>
              </w:rPr>
              <w:t>迎背风面窗平均风压差</w:t>
            </w:r>
            <w:r>
              <w:rPr>
                <w:lang w:val="en-US"/>
              </w:rPr>
              <w:t>(Pa)</w:t>
            </w:r>
          </w:p>
        </w:tc>
      </w:tr>
      <w:tr w14:paraId="79D72F0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1ED43409">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14:paraId="79BCB389">
            <w:pPr>
              <w:spacing w:line="360" w:lineRule="exact"/>
              <w:jc w:val="center"/>
              <w:rPr>
                <w:lang w:val="en-US"/>
              </w:rPr>
            </w:pPr>
            <w:r>
              <w:rPr>
                <w:lang w:val="en-US"/>
              </w:rPr>
              <w:t>6.70</w:t>
            </w:r>
          </w:p>
        </w:tc>
        <w:tc>
          <w:tcPr>
            <w:tcW w:w="2693" w:type="dxa"/>
            <w:tcBorders>
              <w:top w:val="single" w:color="auto" w:sz="4" w:space="0"/>
              <w:left w:val="single" w:color="auto" w:sz="4" w:space="0"/>
              <w:bottom w:val="single" w:color="auto" w:sz="4" w:space="0"/>
              <w:right w:val="single" w:color="auto" w:sz="4" w:space="0"/>
            </w:tcBorders>
            <w:vAlign w:val="center"/>
          </w:tcPr>
          <w:p w14:paraId="64ECC21D">
            <w:pPr>
              <w:spacing w:line="360" w:lineRule="exact"/>
              <w:jc w:val="center"/>
              <w:rPr>
                <w:lang w:val="en-US"/>
              </w:rPr>
            </w:pPr>
            <w:r>
              <w:rPr>
                <w:lang w:val="en-US"/>
              </w:rPr>
              <w:t>-3.98</w:t>
            </w:r>
          </w:p>
        </w:tc>
        <w:tc>
          <w:tcPr>
            <w:tcW w:w="2693" w:type="dxa"/>
            <w:tcBorders>
              <w:top w:val="single" w:color="auto" w:sz="4" w:space="0"/>
              <w:left w:val="single" w:color="auto" w:sz="4" w:space="0"/>
              <w:bottom w:val="single" w:color="auto" w:sz="4" w:space="0"/>
              <w:right w:val="single" w:color="auto" w:sz="12" w:space="0"/>
            </w:tcBorders>
            <w:vAlign w:val="center"/>
          </w:tcPr>
          <w:p w14:paraId="12786E53">
            <w:pPr>
              <w:spacing w:line="360" w:lineRule="exact"/>
              <w:jc w:val="center"/>
              <w:rPr>
                <w:lang w:val="en-US"/>
              </w:rPr>
            </w:pPr>
            <w:r>
              <w:rPr>
                <w:lang w:val="en-US"/>
              </w:rPr>
              <w:t>10.68</w:t>
            </w:r>
          </w:p>
        </w:tc>
      </w:tr>
      <w:tr w14:paraId="58F778A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67ECF977">
            <w:pPr>
              <w:spacing w:line="360" w:lineRule="exact"/>
              <w:jc w:val="center"/>
              <w:rPr>
                <w:lang w:val="en-US"/>
              </w:rPr>
            </w:pPr>
            <w:r>
              <w:rPr>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14:paraId="6190F2AC">
            <w:pPr>
              <w:spacing w:line="360" w:lineRule="exact"/>
              <w:jc w:val="center"/>
              <w:rPr>
                <w:lang w:val="en-US"/>
              </w:rPr>
            </w:pPr>
            <w:r>
              <w:rPr>
                <w:lang w:val="en-US"/>
              </w:rPr>
              <w:t>6.34</w:t>
            </w:r>
          </w:p>
        </w:tc>
        <w:tc>
          <w:tcPr>
            <w:tcW w:w="2693" w:type="dxa"/>
            <w:tcBorders>
              <w:top w:val="single" w:color="auto" w:sz="4" w:space="0"/>
              <w:left w:val="single" w:color="auto" w:sz="4" w:space="0"/>
              <w:bottom w:val="single" w:color="auto" w:sz="4" w:space="0"/>
              <w:right w:val="single" w:color="auto" w:sz="4" w:space="0"/>
            </w:tcBorders>
            <w:vAlign w:val="center"/>
          </w:tcPr>
          <w:p w14:paraId="3BC42F2D">
            <w:pPr>
              <w:spacing w:line="360" w:lineRule="exact"/>
              <w:jc w:val="center"/>
              <w:rPr>
                <w:lang w:val="en-US"/>
              </w:rPr>
            </w:pPr>
            <w:r>
              <w:rPr>
                <w:lang w:val="en-US"/>
              </w:rPr>
              <w:t>-3.90</w:t>
            </w:r>
          </w:p>
        </w:tc>
        <w:tc>
          <w:tcPr>
            <w:tcW w:w="2693" w:type="dxa"/>
            <w:tcBorders>
              <w:top w:val="single" w:color="auto" w:sz="4" w:space="0"/>
              <w:left w:val="single" w:color="auto" w:sz="4" w:space="0"/>
              <w:bottom w:val="single" w:color="auto" w:sz="4" w:space="0"/>
              <w:right w:val="single" w:color="auto" w:sz="12" w:space="0"/>
            </w:tcBorders>
            <w:vAlign w:val="center"/>
          </w:tcPr>
          <w:p w14:paraId="4CA73385">
            <w:pPr>
              <w:spacing w:line="360" w:lineRule="exact"/>
              <w:jc w:val="center"/>
              <w:rPr>
                <w:lang w:val="en-US"/>
              </w:rPr>
            </w:pPr>
            <w:r>
              <w:rPr>
                <w:lang w:val="en-US"/>
              </w:rPr>
              <w:t>10.24</w:t>
            </w:r>
          </w:p>
        </w:tc>
      </w:tr>
      <w:tr w14:paraId="76A358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70875238">
            <w:pPr>
              <w:spacing w:line="360" w:lineRule="exact"/>
              <w:jc w:val="center"/>
              <w:rPr>
                <w:lang w:val="en-US"/>
              </w:rPr>
            </w:pPr>
            <w:r>
              <w:rPr>
                <w:lang w:val="en-US"/>
              </w:rPr>
              <w:t>3层</w:t>
            </w:r>
          </w:p>
        </w:tc>
        <w:tc>
          <w:tcPr>
            <w:tcW w:w="2410" w:type="dxa"/>
            <w:tcBorders>
              <w:top w:val="single" w:color="auto" w:sz="4" w:space="0"/>
              <w:left w:val="single" w:color="auto" w:sz="4" w:space="0"/>
              <w:bottom w:val="single" w:color="auto" w:sz="4" w:space="0"/>
              <w:right w:val="single" w:color="auto" w:sz="4" w:space="0"/>
            </w:tcBorders>
            <w:vAlign w:val="center"/>
          </w:tcPr>
          <w:p w14:paraId="6628AB7E">
            <w:pPr>
              <w:spacing w:line="360" w:lineRule="exact"/>
              <w:jc w:val="center"/>
              <w:rPr>
                <w:lang w:val="en-US"/>
              </w:rPr>
            </w:pPr>
            <w:r>
              <w:rPr>
                <w:lang w:val="en-US"/>
              </w:rPr>
              <w:t>6.42</w:t>
            </w:r>
          </w:p>
        </w:tc>
        <w:tc>
          <w:tcPr>
            <w:tcW w:w="2693" w:type="dxa"/>
            <w:tcBorders>
              <w:top w:val="single" w:color="auto" w:sz="4" w:space="0"/>
              <w:left w:val="single" w:color="auto" w:sz="4" w:space="0"/>
              <w:bottom w:val="single" w:color="auto" w:sz="4" w:space="0"/>
              <w:right w:val="single" w:color="auto" w:sz="4" w:space="0"/>
            </w:tcBorders>
            <w:vAlign w:val="center"/>
          </w:tcPr>
          <w:p w14:paraId="41B7C206">
            <w:pPr>
              <w:spacing w:line="360" w:lineRule="exact"/>
              <w:jc w:val="center"/>
              <w:rPr>
                <w:lang w:val="en-US"/>
              </w:rPr>
            </w:pPr>
            <w:r>
              <w:rPr>
                <w:lang w:val="en-US"/>
              </w:rPr>
              <w:t>-3.98</w:t>
            </w:r>
          </w:p>
        </w:tc>
        <w:tc>
          <w:tcPr>
            <w:tcW w:w="2693" w:type="dxa"/>
            <w:tcBorders>
              <w:top w:val="single" w:color="auto" w:sz="4" w:space="0"/>
              <w:left w:val="single" w:color="auto" w:sz="4" w:space="0"/>
              <w:bottom w:val="single" w:color="auto" w:sz="4" w:space="0"/>
              <w:right w:val="single" w:color="auto" w:sz="12" w:space="0"/>
            </w:tcBorders>
            <w:vAlign w:val="center"/>
          </w:tcPr>
          <w:p w14:paraId="402B2ABC">
            <w:pPr>
              <w:spacing w:line="360" w:lineRule="exact"/>
              <w:jc w:val="center"/>
              <w:rPr>
                <w:lang w:val="en-US"/>
              </w:rPr>
            </w:pPr>
            <w:r>
              <w:rPr>
                <w:lang w:val="en-US"/>
              </w:rPr>
              <w:t>10.40</w:t>
            </w:r>
          </w:p>
        </w:tc>
      </w:tr>
      <w:tr w14:paraId="6D0684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52334B3F">
            <w:pPr>
              <w:spacing w:line="360" w:lineRule="exact"/>
              <w:jc w:val="center"/>
              <w:rPr>
                <w:lang w:val="en-US"/>
              </w:rPr>
            </w:pPr>
            <w:r>
              <w:rPr>
                <w:lang w:val="en-US"/>
              </w:rPr>
              <w:t>4层</w:t>
            </w:r>
          </w:p>
        </w:tc>
        <w:tc>
          <w:tcPr>
            <w:tcW w:w="2410" w:type="dxa"/>
            <w:tcBorders>
              <w:top w:val="single" w:color="auto" w:sz="4" w:space="0"/>
              <w:left w:val="single" w:color="auto" w:sz="4" w:space="0"/>
              <w:bottom w:val="single" w:color="auto" w:sz="4" w:space="0"/>
              <w:right w:val="single" w:color="auto" w:sz="4" w:space="0"/>
            </w:tcBorders>
            <w:vAlign w:val="center"/>
          </w:tcPr>
          <w:p w14:paraId="726D0341">
            <w:pPr>
              <w:spacing w:line="360" w:lineRule="exact"/>
              <w:jc w:val="center"/>
              <w:rPr>
                <w:lang w:val="en-US"/>
              </w:rPr>
            </w:pPr>
            <w:r>
              <w:rPr>
                <w:lang w:val="en-US"/>
              </w:rPr>
              <w:t>6.36</w:t>
            </w:r>
          </w:p>
        </w:tc>
        <w:tc>
          <w:tcPr>
            <w:tcW w:w="2693" w:type="dxa"/>
            <w:tcBorders>
              <w:top w:val="single" w:color="auto" w:sz="4" w:space="0"/>
              <w:left w:val="single" w:color="auto" w:sz="4" w:space="0"/>
              <w:bottom w:val="single" w:color="auto" w:sz="4" w:space="0"/>
              <w:right w:val="single" w:color="auto" w:sz="4" w:space="0"/>
            </w:tcBorders>
            <w:vAlign w:val="center"/>
          </w:tcPr>
          <w:p w14:paraId="5CBD55A9">
            <w:pPr>
              <w:spacing w:line="360" w:lineRule="exact"/>
              <w:jc w:val="center"/>
              <w:rPr>
                <w:lang w:val="en-US"/>
              </w:rPr>
            </w:pPr>
            <w:r>
              <w:rPr>
                <w:lang w:val="en-US"/>
              </w:rPr>
              <w:t>-4.45</w:t>
            </w:r>
          </w:p>
        </w:tc>
        <w:tc>
          <w:tcPr>
            <w:tcW w:w="2693" w:type="dxa"/>
            <w:tcBorders>
              <w:top w:val="single" w:color="auto" w:sz="4" w:space="0"/>
              <w:left w:val="single" w:color="auto" w:sz="4" w:space="0"/>
              <w:bottom w:val="single" w:color="auto" w:sz="4" w:space="0"/>
              <w:right w:val="single" w:color="auto" w:sz="12" w:space="0"/>
            </w:tcBorders>
            <w:vAlign w:val="center"/>
          </w:tcPr>
          <w:p w14:paraId="221F6054">
            <w:pPr>
              <w:spacing w:line="360" w:lineRule="exact"/>
              <w:jc w:val="center"/>
              <w:rPr>
                <w:lang w:val="en-US"/>
              </w:rPr>
            </w:pPr>
            <w:r>
              <w:rPr>
                <w:lang w:val="en-US"/>
              </w:rPr>
              <w:t>10.81</w:t>
            </w:r>
          </w:p>
        </w:tc>
      </w:tr>
      <w:tr w14:paraId="3BBACC4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38789195">
            <w:pPr>
              <w:spacing w:line="360" w:lineRule="exact"/>
              <w:jc w:val="center"/>
              <w:rPr>
                <w:lang w:val="en-US"/>
              </w:rPr>
            </w:pPr>
            <w:r>
              <w:rPr>
                <w:rFonts w:hint="eastAsia"/>
                <w:lang w:val="en-US"/>
              </w:rPr>
              <w:t>5层</w:t>
            </w:r>
          </w:p>
        </w:tc>
        <w:tc>
          <w:tcPr>
            <w:tcW w:w="2410" w:type="dxa"/>
            <w:tcBorders>
              <w:top w:val="single" w:color="auto" w:sz="4" w:space="0"/>
              <w:left w:val="single" w:color="auto" w:sz="4" w:space="0"/>
              <w:bottom w:val="single" w:color="auto" w:sz="4" w:space="0"/>
              <w:right w:val="single" w:color="auto" w:sz="4" w:space="0"/>
            </w:tcBorders>
            <w:vAlign w:val="center"/>
          </w:tcPr>
          <w:p w14:paraId="41467FC1">
            <w:pPr>
              <w:spacing w:line="360" w:lineRule="exact"/>
              <w:jc w:val="center"/>
              <w:rPr>
                <w:lang w:val="en-US"/>
              </w:rPr>
            </w:pPr>
            <w:r>
              <w:rPr>
                <w:lang w:val="en-US"/>
              </w:rPr>
              <w:t>6.16</w:t>
            </w:r>
          </w:p>
        </w:tc>
        <w:tc>
          <w:tcPr>
            <w:tcW w:w="2693" w:type="dxa"/>
            <w:tcBorders>
              <w:top w:val="single" w:color="auto" w:sz="4" w:space="0"/>
              <w:left w:val="single" w:color="auto" w:sz="4" w:space="0"/>
              <w:bottom w:val="single" w:color="auto" w:sz="4" w:space="0"/>
              <w:right w:val="single" w:color="auto" w:sz="4" w:space="0"/>
            </w:tcBorders>
            <w:vAlign w:val="center"/>
          </w:tcPr>
          <w:p w14:paraId="4F23C120">
            <w:pPr>
              <w:spacing w:line="360" w:lineRule="exact"/>
              <w:jc w:val="center"/>
              <w:rPr>
                <w:lang w:val="en-US"/>
              </w:rPr>
            </w:pPr>
            <w:r>
              <w:rPr>
                <w:lang w:val="en-US"/>
              </w:rPr>
              <w:t>-4.58</w:t>
            </w:r>
          </w:p>
        </w:tc>
        <w:tc>
          <w:tcPr>
            <w:tcW w:w="2693" w:type="dxa"/>
            <w:tcBorders>
              <w:top w:val="single" w:color="auto" w:sz="4" w:space="0"/>
              <w:left w:val="single" w:color="auto" w:sz="4" w:space="0"/>
              <w:bottom w:val="single" w:color="auto" w:sz="4" w:space="0"/>
              <w:right w:val="single" w:color="auto" w:sz="12" w:space="0"/>
            </w:tcBorders>
            <w:vAlign w:val="center"/>
          </w:tcPr>
          <w:p w14:paraId="593BB843">
            <w:pPr>
              <w:spacing w:line="360" w:lineRule="exact"/>
              <w:jc w:val="center"/>
              <w:rPr>
                <w:lang w:val="en-US"/>
              </w:rPr>
            </w:pPr>
            <w:r>
              <w:rPr>
                <w:lang w:val="en-US"/>
              </w:rPr>
              <w:t>10.74</w:t>
            </w:r>
          </w:p>
        </w:tc>
      </w:tr>
      <w:tr w14:paraId="3BB5BF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14:paraId="6B3E890A">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14:paraId="41C3AF07">
            <w:pPr>
              <w:spacing w:line="360" w:lineRule="exact"/>
              <w:jc w:val="center"/>
              <w:rPr>
                <w:lang w:val="en-US"/>
              </w:rPr>
            </w:pPr>
            <w:r>
              <w:rPr>
                <w:lang w:val="en-US"/>
              </w:rPr>
              <w:t>6.39</w:t>
            </w:r>
          </w:p>
        </w:tc>
        <w:tc>
          <w:tcPr>
            <w:tcW w:w="2693" w:type="dxa"/>
            <w:tcBorders>
              <w:top w:val="single" w:color="auto" w:sz="4" w:space="0"/>
              <w:left w:val="single" w:color="auto" w:sz="4" w:space="0"/>
              <w:bottom w:val="single" w:color="auto" w:sz="12" w:space="0"/>
              <w:right w:val="single" w:color="auto" w:sz="4" w:space="0"/>
            </w:tcBorders>
            <w:vAlign w:val="center"/>
          </w:tcPr>
          <w:p w14:paraId="3E795815">
            <w:pPr>
              <w:spacing w:line="360" w:lineRule="exact"/>
              <w:jc w:val="center"/>
              <w:rPr>
                <w:lang w:val="en-US"/>
              </w:rPr>
            </w:pPr>
            <w:r>
              <w:rPr>
                <w:lang w:val="en-US"/>
              </w:rPr>
              <w:t>-4.19</w:t>
            </w:r>
          </w:p>
        </w:tc>
        <w:tc>
          <w:tcPr>
            <w:tcW w:w="2693" w:type="dxa"/>
            <w:tcBorders>
              <w:top w:val="single" w:color="auto" w:sz="4" w:space="0"/>
              <w:left w:val="single" w:color="auto" w:sz="4" w:space="0"/>
              <w:bottom w:val="single" w:color="auto" w:sz="12" w:space="0"/>
              <w:right w:val="single" w:color="auto" w:sz="12" w:space="0"/>
            </w:tcBorders>
            <w:vAlign w:val="center"/>
          </w:tcPr>
          <w:p w14:paraId="64D795D3">
            <w:pPr>
              <w:spacing w:line="360" w:lineRule="exact"/>
              <w:jc w:val="center"/>
              <w:rPr>
                <w:lang w:val="en-US"/>
              </w:rPr>
            </w:pPr>
            <w:r>
              <w:rPr>
                <w:lang w:val="en-US"/>
              </w:rPr>
              <w:t>10.58</w:t>
            </w:r>
          </w:p>
        </w:tc>
      </w:tr>
      <w:bookmarkEnd w:id="0"/>
    </w:tbl>
    <w:p w14:paraId="7F80FDD0">
      <w:bookmarkStart w:id="175" w:name="结论"/>
      <w:bookmarkEnd w:id="175"/>
    </w:p>
    <w:p w14:paraId="4C11E63D">
      <w:pPr>
        <w:pStyle w:val="3"/>
        <w:ind w:firstLine="420"/>
        <w:rPr>
          <w:lang w:val="en-US"/>
        </w:rPr>
      </w:pPr>
      <w:bookmarkStart w:id="176" w:name="迎风建筑信息参评"/>
      <w:bookmarkEnd w:id="176"/>
    </w:p>
    <w:p w14:paraId="21F3D583">
      <w:pPr>
        <w:pStyle w:val="5"/>
      </w:pPr>
      <w:bookmarkStart w:id="177" w:name="_Toc18478"/>
      <w:r>
        <w:rPr>
          <w:rFonts w:hint="eastAsia"/>
        </w:rPr>
        <w:t>不参评建筑迎背风面窗平均风压差表</w:t>
      </w:r>
      <w:bookmarkEnd w:id="177"/>
    </w:p>
    <w:p w14:paraId="35197DCC">
      <w:pPr>
        <w:pStyle w:val="3"/>
        <w:ind w:firstLine="420"/>
        <w:rPr>
          <w:lang w:val="en-US"/>
        </w:rPr>
      </w:pPr>
      <w:bookmarkStart w:id="178" w:name="迎风建筑信息不参评"/>
      <w:bookmarkEnd w:id="178"/>
    </w:p>
    <w:bookmarkEnd w:id="172"/>
    <w:p w14:paraId="66A58611">
      <w:pPr>
        <w:pStyle w:val="3"/>
        <w:ind w:firstLine="0" w:firstLineChars="0"/>
        <w:rPr>
          <w:lang w:val="en-US"/>
        </w:rPr>
      </w:pP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29767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0EB63AC4">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14:paraId="3226C4AC">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19BD8FCA">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18A9047F">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0572D">
    <w:pPr>
      <w:pStyle w:val="17"/>
      <w:jc w:val="center"/>
      <w:rPr>
        <w:rFonts w:asciiTheme="minorEastAsia" w:hAnsiTheme="minorEastAsia" w:eastAsiaTheme="minorEastAsia"/>
        <w:szCs w:val="21"/>
      </w:rPr>
    </w:pPr>
  </w:p>
  <w:p w14:paraId="3EAFE8C3">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A985E">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90974"/>
    <w:rsid w:val="00000E39"/>
    <w:rsid w:val="00005045"/>
    <w:rsid w:val="0000578F"/>
    <w:rsid w:val="0002001E"/>
    <w:rsid w:val="000219DF"/>
    <w:rsid w:val="00037A4C"/>
    <w:rsid w:val="000678A8"/>
    <w:rsid w:val="00067FD6"/>
    <w:rsid w:val="00070047"/>
    <w:rsid w:val="00073958"/>
    <w:rsid w:val="00076B16"/>
    <w:rsid w:val="00076D70"/>
    <w:rsid w:val="00081A16"/>
    <w:rsid w:val="000A23A8"/>
    <w:rsid w:val="000A3C68"/>
    <w:rsid w:val="000B78A5"/>
    <w:rsid w:val="000C1855"/>
    <w:rsid w:val="000C291D"/>
    <w:rsid w:val="000C3B77"/>
    <w:rsid w:val="000D16B8"/>
    <w:rsid w:val="000D7A8A"/>
    <w:rsid w:val="000E5D7D"/>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47DF7"/>
    <w:rsid w:val="001511A3"/>
    <w:rsid w:val="00153AEE"/>
    <w:rsid w:val="001570B9"/>
    <w:rsid w:val="0016330F"/>
    <w:rsid w:val="0016667B"/>
    <w:rsid w:val="001737F9"/>
    <w:rsid w:val="001773DA"/>
    <w:rsid w:val="00184656"/>
    <w:rsid w:val="00186918"/>
    <w:rsid w:val="001A38B7"/>
    <w:rsid w:val="001A7C37"/>
    <w:rsid w:val="001B6D59"/>
    <w:rsid w:val="001B7C87"/>
    <w:rsid w:val="001C1C39"/>
    <w:rsid w:val="001C795C"/>
    <w:rsid w:val="001D3071"/>
    <w:rsid w:val="001D3BB9"/>
    <w:rsid w:val="001D3F33"/>
    <w:rsid w:val="001E133A"/>
    <w:rsid w:val="001F01FD"/>
    <w:rsid w:val="00201812"/>
    <w:rsid w:val="00203163"/>
    <w:rsid w:val="00203A7D"/>
    <w:rsid w:val="00213B3C"/>
    <w:rsid w:val="00215D00"/>
    <w:rsid w:val="00215EBC"/>
    <w:rsid w:val="00217F09"/>
    <w:rsid w:val="0022597C"/>
    <w:rsid w:val="002431AE"/>
    <w:rsid w:val="002555B8"/>
    <w:rsid w:val="00284FB2"/>
    <w:rsid w:val="00292AFC"/>
    <w:rsid w:val="0029328A"/>
    <w:rsid w:val="00295C3C"/>
    <w:rsid w:val="00295D20"/>
    <w:rsid w:val="002A1AF2"/>
    <w:rsid w:val="002A5BD0"/>
    <w:rsid w:val="002A60F5"/>
    <w:rsid w:val="002B090C"/>
    <w:rsid w:val="002B2E78"/>
    <w:rsid w:val="002B7314"/>
    <w:rsid w:val="002C153B"/>
    <w:rsid w:val="002D2322"/>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E5CA2"/>
    <w:rsid w:val="004F0639"/>
    <w:rsid w:val="0050569B"/>
    <w:rsid w:val="00511D13"/>
    <w:rsid w:val="00512B1A"/>
    <w:rsid w:val="005215FB"/>
    <w:rsid w:val="005326EE"/>
    <w:rsid w:val="00537CCE"/>
    <w:rsid w:val="00537E4B"/>
    <w:rsid w:val="00540765"/>
    <w:rsid w:val="00547D69"/>
    <w:rsid w:val="00562403"/>
    <w:rsid w:val="00566115"/>
    <w:rsid w:val="005725E0"/>
    <w:rsid w:val="005755BA"/>
    <w:rsid w:val="00582116"/>
    <w:rsid w:val="0058501E"/>
    <w:rsid w:val="0058600E"/>
    <w:rsid w:val="005910E8"/>
    <w:rsid w:val="005928FB"/>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83BC8"/>
    <w:rsid w:val="00694FCA"/>
    <w:rsid w:val="0069542D"/>
    <w:rsid w:val="00696F9A"/>
    <w:rsid w:val="006A07C2"/>
    <w:rsid w:val="006A3243"/>
    <w:rsid w:val="006B6C00"/>
    <w:rsid w:val="006C2D59"/>
    <w:rsid w:val="006C2DCC"/>
    <w:rsid w:val="006D02D6"/>
    <w:rsid w:val="006D45E8"/>
    <w:rsid w:val="006E2867"/>
    <w:rsid w:val="006F289F"/>
    <w:rsid w:val="006F3036"/>
    <w:rsid w:val="007064C5"/>
    <w:rsid w:val="00712C8C"/>
    <w:rsid w:val="0071616F"/>
    <w:rsid w:val="007302A5"/>
    <w:rsid w:val="00732D83"/>
    <w:rsid w:val="007363B1"/>
    <w:rsid w:val="00741470"/>
    <w:rsid w:val="007446D1"/>
    <w:rsid w:val="00745913"/>
    <w:rsid w:val="0074750E"/>
    <w:rsid w:val="00751D7B"/>
    <w:rsid w:val="00754FB6"/>
    <w:rsid w:val="00762314"/>
    <w:rsid w:val="007628A1"/>
    <w:rsid w:val="00767FE1"/>
    <w:rsid w:val="00777C7C"/>
    <w:rsid w:val="00782889"/>
    <w:rsid w:val="00790965"/>
    <w:rsid w:val="00791AFD"/>
    <w:rsid w:val="007A20AF"/>
    <w:rsid w:val="007A5318"/>
    <w:rsid w:val="007A5B26"/>
    <w:rsid w:val="007A5B7A"/>
    <w:rsid w:val="007B2D7C"/>
    <w:rsid w:val="007B3E87"/>
    <w:rsid w:val="007B61C5"/>
    <w:rsid w:val="007C15B9"/>
    <w:rsid w:val="007C4F93"/>
    <w:rsid w:val="007C5197"/>
    <w:rsid w:val="007C52FA"/>
    <w:rsid w:val="007D02FB"/>
    <w:rsid w:val="007D224D"/>
    <w:rsid w:val="007D28CA"/>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38E5"/>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2F8C"/>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2C6C"/>
    <w:rsid w:val="00A7322A"/>
    <w:rsid w:val="00A7462A"/>
    <w:rsid w:val="00A7598E"/>
    <w:rsid w:val="00A8181B"/>
    <w:rsid w:val="00A8393F"/>
    <w:rsid w:val="00AA26C7"/>
    <w:rsid w:val="00AA47FE"/>
    <w:rsid w:val="00AB00F6"/>
    <w:rsid w:val="00AB3E6E"/>
    <w:rsid w:val="00AC7C9E"/>
    <w:rsid w:val="00AC7EEF"/>
    <w:rsid w:val="00AD1722"/>
    <w:rsid w:val="00AD239C"/>
    <w:rsid w:val="00AE0FC4"/>
    <w:rsid w:val="00AE5F8F"/>
    <w:rsid w:val="00B01598"/>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1F9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77BC0"/>
    <w:rsid w:val="00C86FAA"/>
    <w:rsid w:val="00C87AC6"/>
    <w:rsid w:val="00C94BB7"/>
    <w:rsid w:val="00C976BE"/>
    <w:rsid w:val="00C97E25"/>
    <w:rsid w:val="00C97F88"/>
    <w:rsid w:val="00CA1378"/>
    <w:rsid w:val="00CB0266"/>
    <w:rsid w:val="00CB0F5E"/>
    <w:rsid w:val="00CB2732"/>
    <w:rsid w:val="00CB7C65"/>
    <w:rsid w:val="00CE1771"/>
    <w:rsid w:val="00CE28AA"/>
    <w:rsid w:val="00CE6B55"/>
    <w:rsid w:val="00CF109A"/>
    <w:rsid w:val="00CF421E"/>
    <w:rsid w:val="00D13ABE"/>
    <w:rsid w:val="00D233EB"/>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4511A"/>
    <w:rsid w:val="00E52B53"/>
    <w:rsid w:val="00E60BFC"/>
    <w:rsid w:val="00E660D6"/>
    <w:rsid w:val="00E72A20"/>
    <w:rsid w:val="00E81ACD"/>
    <w:rsid w:val="00E872A7"/>
    <w:rsid w:val="00E90F14"/>
    <w:rsid w:val="00E91EF3"/>
    <w:rsid w:val="00EA30EF"/>
    <w:rsid w:val="00EA5DEE"/>
    <w:rsid w:val="00EB1BD1"/>
    <w:rsid w:val="00EB5344"/>
    <w:rsid w:val="00EB67C0"/>
    <w:rsid w:val="00EE1BA7"/>
    <w:rsid w:val="00EE68A9"/>
    <w:rsid w:val="00EE7411"/>
    <w:rsid w:val="00EF3DA5"/>
    <w:rsid w:val="00EF7114"/>
    <w:rsid w:val="00F0656F"/>
    <w:rsid w:val="00F10F02"/>
    <w:rsid w:val="00F30C12"/>
    <w:rsid w:val="00F5023B"/>
    <w:rsid w:val="00F67DF1"/>
    <w:rsid w:val="00F74339"/>
    <w:rsid w:val="00F7520A"/>
    <w:rsid w:val="00F75DD1"/>
    <w:rsid w:val="00F82EDB"/>
    <w:rsid w:val="00F97363"/>
    <w:rsid w:val="00FA1E99"/>
    <w:rsid w:val="00FA4B87"/>
    <w:rsid w:val="00FA58D9"/>
    <w:rsid w:val="00FB28FF"/>
    <w:rsid w:val="00FB6C39"/>
    <w:rsid w:val="00FC7756"/>
    <w:rsid w:val="00FE4CC4"/>
    <w:rsid w:val="00FE79B9"/>
    <w:rsid w:val="00FF2243"/>
    <w:rsid w:val="0FB9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3" Type="http://schemas.openxmlformats.org/officeDocument/2006/relationships/fontTable" Target="fontTable.xml"/><Relationship Id="rId82" Type="http://schemas.openxmlformats.org/officeDocument/2006/relationships/customXml" Target="../customXml/item1.xml"/><Relationship Id="rId81" Type="http://schemas.openxmlformats.org/officeDocument/2006/relationships/numbering" Target="numbering.xml"/><Relationship Id="rId80" Type="http://schemas.openxmlformats.org/officeDocument/2006/relationships/image" Target="media/image66.png"/><Relationship Id="rId8" Type="http://schemas.openxmlformats.org/officeDocument/2006/relationships/theme" Target="theme/theme1.xml"/><Relationship Id="rId79" Type="http://schemas.openxmlformats.org/officeDocument/2006/relationships/image" Target="media/image65.png"/><Relationship Id="rId78" Type="http://schemas.openxmlformats.org/officeDocument/2006/relationships/image" Target="media/image64.png"/><Relationship Id="rId77" Type="http://schemas.openxmlformats.org/officeDocument/2006/relationships/image" Target="media/image63.png"/><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wmf"/><Relationship Id="rId7" Type="http://schemas.openxmlformats.org/officeDocument/2006/relationships/footer" Target="footer2.xml"/><Relationship Id="rId69" Type="http://schemas.openxmlformats.org/officeDocument/2006/relationships/oleObject" Target="embeddings/oleObject7.bin"/><Relationship Id="rId68" Type="http://schemas.openxmlformats.org/officeDocument/2006/relationships/image" Target="media/image55.wmf"/><Relationship Id="rId67" Type="http://schemas.openxmlformats.org/officeDocument/2006/relationships/oleObject" Target="embeddings/oleObject6.bin"/><Relationship Id="rId66" Type="http://schemas.openxmlformats.org/officeDocument/2006/relationships/image" Target="media/image54.wmf"/><Relationship Id="rId65" Type="http://schemas.openxmlformats.org/officeDocument/2006/relationships/oleObject" Target="embeddings/oleObject5.bin"/><Relationship Id="rId64" Type="http://schemas.openxmlformats.org/officeDocument/2006/relationships/image" Target="media/image53.wmf"/><Relationship Id="rId63" Type="http://schemas.openxmlformats.org/officeDocument/2006/relationships/oleObject" Target="embeddings/oleObject4.bin"/><Relationship Id="rId62" Type="http://schemas.openxmlformats.org/officeDocument/2006/relationships/image" Target="media/image52.wmf"/><Relationship Id="rId61" Type="http://schemas.openxmlformats.org/officeDocument/2006/relationships/image" Target="media/image51.wmf"/><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png"/><Relationship Id="rId22" Type="http://schemas.openxmlformats.org/officeDocument/2006/relationships/image" Target="media/image12.wmf"/><Relationship Id="rId21" Type="http://schemas.openxmlformats.org/officeDocument/2006/relationships/oleObject" Target="embeddings/oleObject3.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0.wmf"/><Relationship Id="rId17" Type="http://schemas.openxmlformats.org/officeDocument/2006/relationships/oleObject" Target="embeddings/oleObject1.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099\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44BA6-9C2F-4C20-AA82-CBC84E5D7F25}">
  <ds:schemaRefs/>
</ds:datastoreItem>
</file>

<file path=docProps/app.xml><?xml version="1.0" encoding="utf-8"?>
<Properties xmlns="http://schemas.openxmlformats.org/officeDocument/2006/extended-properties" xmlns:vt="http://schemas.openxmlformats.org/officeDocument/2006/docPropsVTypes">
  <Template>tmp1.dotx</Template>
  <Pages>23</Pages>
  <Words>6026</Words>
  <Characters>6869</Characters>
  <Lines>42</Lines>
  <Paragraphs>11</Paragraphs>
  <TotalTime>0</TotalTime>
  <ScaleCrop>false</ScaleCrop>
  <LinksUpToDate>false</LinksUpToDate>
  <CharactersWithSpaces>11805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2024-12-26T07:00:00Z</dcterms:created>
  <dc:creator>Maskin</dc:creator>
  <cp:lastModifiedBy>Maskin</cp:lastModifiedBy>
  <dcterms:modified xsi:type="dcterms:W3CDTF">2024-12-26T07:00:42Z</dcterms:modified>
  <dc:title>室外风环境模拟分析报告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BA43E695609D4701BD39A323C10DC3CD_11</vt:lpwstr>
  </property>
  <property fmtid="{D5CDD505-2E9C-101B-9397-08002B2CF9AE}" pid="3" name="KSOTemplateDocerSaveRecord">
    <vt:lpwstr>eyJoZGlkIjoiY2ZiMjg0YmJmYzJlNDgwYjZjZDNjY2JhYjlhYWJlYjQiLCJ1c2VySWQiOiIxMDI1MzM5MTIwIn0=</vt:lpwstr>
  </property>
  <property fmtid="{D5CDD505-2E9C-101B-9397-08002B2CF9AE}" pid="4" name="KSOProductBuildVer">
    <vt:lpwstr>2052-12.1.0.19302</vt:lpwstr>
  </property>
</Properties>
</file>