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68F20">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14:paraId="1050B2D2">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14:paraId="1D3B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07F4E80B">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14:paraId="2F0F6F03">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14:paraId="2D4ECBA4">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14:paraId="3BC906A6">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14:paraId="5081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6EACD97E">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14:paraId="41D85342">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14:paraId="06B7FB46">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14:paraId="7711779D">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14:paraId="39BD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440F7EA6">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14:paraId="180261FC">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14:paraId="7EEDD268">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14:paraId="3C29FB90">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14:paraId="4F66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1733AD9E">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14:paraId="27C39644">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14:paraId="2D530452">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14:paraId="1BAAA153">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47A0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14:paraId="078A32A5">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14:paraId="160EDDE8">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14:paraId="38D99224">
                <w:pPr>
                  <w:jc w:val="center"/>
                  <w:rPr>
                    <w:rFonts w:ascii="Times New Roman" w:hAnsi="Times New Roman" w:eastAsia="宋体" w:cs="Times New Roman"/>
                    <w:szCs w:val="21"/>
                  </w:rPr>
                </w:pPr>
                <w:r>
                  <w:rPr>
                    <w:rFonts w:hint="eastAsia" w:ascii="Times New Roman" w:hAnsi="Times New Roman" w:eastAsia="宋体" w:cs="Times New Roman"/>
                    <w:kern w:val="0"/>
                    <w:szCs w:val="21"/>
                    <w:lang w:val="en-US" w:eastAsia="zh-CN"/>
                  </w:rPr>
                  <w:t>18</w:t>
                </w:r>
                <w:r>
                  <w:rPr>
                    <w:rFonts w:hint="eastAsia" w:ascii="Times New Roman" w:hAnsi="Times New Roman" w:eastAsia="宋体" w:cs="Times New Roman"/>
                    <w:kern w:val="0"/>
                    <w:szCs w:val="21"/>
                  </w:rPr>
                  <w:t xml:space="preserve">  </w:t>
                </w:r>
              </w:p>
            </w:tc>
          </w:sdtContent>
        </w:sdt>
      </w:tr>
    </w:tbl>
    <w:p w14:paraId="56E9F717">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14:paraId="1055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14:paraId="4A600A4C">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14:paraId="48C38BA3">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14:paraId="65FF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14:paraId="7C50A9E7">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14:paraId="0CDA3476">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78.41%</w:t>
            </w:r>
          </w:p>
        </w:tc>
      </w:tr>
      <w:tr w14:paraId="2BB9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14:paraId="372BA506">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14:paraId="29A493B4">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是</w:t>
            </w:r>
          </w:p>
        </w:tc>
      </w:tr>
    </w:tbl>
    <w:p w14:paraId="480013DB">
      <w:pPr>
        <w:rPr>
          <w:rFonts w:ascii="Times New Roman" w:hAnsi="Times New Roman" w:eastAsia="宋体" w:cs="Times New Roman"/>
          <w:szCs w:val="21"/>
        </w:rPr>
      </w:pPr>
    </w:p>
    <w:p w14:paraId="1EF44BF3">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D9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8F8F74D">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设备设施布置方式</w:t>
            </w:r>
          </w:p>
          <w:p w14:paraId="2441D16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功能性布局：</w:t>
            </w:r>
          </w:p>
          <w:p w14:paraId="70836FA1">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根据建筑的不同功能区域（如办公区、居住区、商业区等）来布置设备设施，确保每个区域的需求得到满足。</w:t>
            </w:r>
          </w:p>
          <w:p w14:paraId="25C0704A">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例如，在办公区布置高性能的通信和网络设备，在居住区则注重家居智能化和舒适性的设备。</w:t>
            </w:r>
          </w:p>
          <w:p w14:paraId="19EC4735">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空间利用：</w:t>
            </w:r>
          </w:p>
          <w:p w14:paraId="42A384E0">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利用建筑的空间特点，如高层、地下室、屋顶等，进行设备设施的合理布局。</w:t>
            </w:r>
          </w:p>
          <w:p w14:paraId="7878F0CF">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高层建筑可能需要考虑垂直运输设备（如电梯、扶梯）的分布和效率。</w:t>
            </w:r>
          </w:p>
          <w:p w14:paraId="188E8260">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地下室可用于布置水泵房、配电室等不需要直接对外界环境的设备。</w:t>
            </w:r>
          </w:p>
          <w:p w14:paraId="4834D36F">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灵活性和可扩展性：</w:t>
            </w:r>
          </w:p>
          <w:p w14:paraId="69C22973">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设备设施的布置应考虑未来可能的功能变化或扩建需求，预留足够的空间和接口。</w:t>
            </w:r>
          </w:p>
          <w:p w14:paraId="72411DDB">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例如，数据中心的设计应考虑未来设备的增加和升级。</w:t>
            </w:r>
          </w:p>
          <w:p w14:paraId="46DF272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节能和环保：</w:t>
            </w:r>
          </w:p>
          <w:p w14:paraId="19DDB1AF">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布置设备时考虑节能减排，如利用自然通风和采光，合理布局暖通空调系统等。</w:t>
            </w:r>
          </w:p>
          <w:p w14:paraId="3D6A4F6C">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控制方式</w:t>
            </w:r>
          </w:p>
          <w:p w14:paraId="25BBE328">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智能化控制系统：</w:t>
            </w:r>
          </w:p>
          <w:p w14:paraId="76426FD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利用楼宇自动化系统（BAS）对建筑内的设备设施进行集中监控和管理。</w:t>
            </w:r>
          </w:p>
          <w:p w14:paraId="56319838">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通过传感器收集数据，实现自动调节室内温度、湿度、照明等。</w:t>
            </w:r>
          </w:p>
          <w:p w14:paraId="200A7FF3">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分区控制：</w:t>
            </w:r>
          </w:p>
          <w:p w14:paraId="72FD01AC">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根据建筑的不同区域和使用时间，实行分区和分时控制。</w:t>
            </w:r>
          </w:p>
          <w:p w14:paraId="565E9F63">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例如，办公区和居住区可以分别控制照明和空调，以节约能源。</w:t>
            </w:r>
          </w:p>
          <w:p w14:paraId="00D3C0B4">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用户定制化控制：</w:t>
            </w:r>
          </w:p>
          <w:p w14:paraId="340D12CE">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提供用户界面，允许用户根据个人偏好调整设备设置，如办公室内的个人空调温度调节。</w:t>
            </w:r>
          </w:p>
          <w:p w14:paraId="0F37AC27">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应急响应控制：</w:t>
            </w:r>
          </w:p>
          <w:p w14:paraId="09F8817C">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设备设施应具备应急响应能力，如火灾自动报警系统和紧急疏散指示。</w:t>
            </w:r>
          </w:p>
          <w:p w14:paraId="160EC333">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维护和保养控制：</w:t>
            </w:r>
          </w:p>
          <w:p w14:paraId="21032A7D">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设备设施应配备维护和保养提示系统，确保设备的正常运行和延长使用寿命。</w:t>
            </w:r>
          </w:p>
          <w:p w14:paraId="779EADCC">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通过上述布置方式和控制策略，可以确保建筑设备设施的高效运行，满足不同功能空间的需求，同时提升建筑的舒适度、安全性和能效表现。</w:t>
            </w:r>
            <w:bookmarkStart w:id="0" w:name="_GoBack"/>
            <w:bookmarkEnd w:id="0"/>
          </w:p>
        </w:tc>
      </w:tr>
    </w:tbl>
    <w:p w14:paraId="79FB29A1">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260B2CA6">
      <w:pPr>
        <w:rPr>
          <w:rFonts w:ascii="Times New Roman" w:hAnsi="Times New Roman" w:eastAsia="宋体" w:cs="Times New Roman"/>
          <w:szCs w:val="21"/>
        </w:rPr>
      </w:pPr>
      <w:r>
        <w:rPr>
          <w:rFonts w:ascii="Times New Roman" w:hAnsi="Times New Roman" w:eastAsia="宋体" w:cs="Times New Roman"/>
          <w:szCs w:val="21"/>
        </w:rPr>
        <w:t>提交材料及要求：</w:t>
      </w:r>
    </w:p>
    <w:p w14:paraId="314D2D01">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14:paraId="39877658">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14:paraId="6FC17B5F">
      <w:pPr>
        <w:rPr>
          <w:rFonts w:ascii="Times New Roman" w:hAnsi="Times New Roman" w:eastAsia="宋体" w:cs="Times New Roman"/>
          <w:szCs w:val="21"/>
        </w:rPr>
      </w:pPr>
    </w:p>
    <w:p w14:paraId="0C5CEBED">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63D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5E00331C">
            <w:pPr>
              <w:rPr>
                <w:rFonts w:ascii="Times New Roman" w:hAnsi="Times New Roman" w:eastAsia="宋体" w:cs="Times New Roman"/>
                <w:kern w:val="0"/>
                <w:sz w:val="20"/>
                <w:szCs w:val="21"/>
              </w:rPr>
            </w:pPr>
          </w:p>
        </w:tc>
      </w:tr>
    </w:tbl>
    <w:p w14:paraId="4DCFC7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1163C3"/>
    <w:rsid w:val="004B4951"/>
    <w:rsid w:val="007F1354"/>
    <w:rsid w:val="00842C8B"/>
    <w:rsid w:val="00BA302A"/>
    <w:rsid w:val="0D0C7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14:paraId="1966DB7A">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14:paraId="3E7ADE81">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14:paraId="2B9F626C">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14:paraId="141F8B07">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248</Words>
  <Characters>254</Characters>
  <Lines>2</Lines>
  <Paragraphs>1</Paragraphs>
  <TotalTime>2</TotalTime>
  <ScaleCrop>false</ScaleCrop>
  <LinksUpToDate>false</LinksUpToDate>
  <CharactersWithSpaces>266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亖一</cp:lastModifiedBy>
  <dcterms:modified xsi:type="dcterms:W3CDTF">2025-03-15T11:02:57Z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eyJoZGlkIjoiOTVhNmRhM2MyMTNmYmRhYmZiZGJiMTU3NmJmMzcwM2MiLCJ1c2VySWQiOiIxMjU0ODk1MTAwIn0=</vt:lpwstr>
  </property>
  <property fmtid="{D5CDD505-2E9C-101B-9397-08002B2CF9AE}" pid="3" name="KSOProductBuildVer">
    <vt:lpwstr>2052-12.1.0.19770</vt:lpwstr>
  </property>
  <property fmtid="{D5CDD505-2E9C-101B-9397-08002B2CF9AE}" pid="4" name="ICV">
    <vt:lpwstr>D984BA197754406CAC6D9EB0F505ED28_13</vt:lpwstr>
  </property>
</Properties>
</file>