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8DB48">
      <w:pPr>
        <w:pStyle w:val="3"/>
        <w:spacing w:before="0" w:after="0"/>
        <w:rPr>
          <w:rFonts w:eastAsiaTheme="minorEastAsia"/>
          <w:sz w:val="24"/>
          <w:szCs w:val="40"/>
        </w:rPr>
      </w:pPr>
      <w:r>
        <w:rPr>
          <w:rFonts w:eastAsiaTheme="minorEastAsia"/>
          <w:sz w:val="24"/>
          <w:szCs w:val="40"/>
        </w:rPr>
        <w:t>5.2.9</w:t>
      </w:r>
      <w:r>
        <w:rPr>
          <w:rFonts w:hint="eastAsia" w:eastAsiaTheme="minorEastAsia"/>
          <w:sz w:val="24"/>
          <w:szCs w:val="40"/>
        </w:rPr>
        <w:t xml:space="preserve"> </w:t>
      </w:r>
      <w:r>
        <w:rPr>
          <w:rFonts w:eastAsiaTheme="minorEastAsia"/>
          <w:sz w:val="24"/>
          <w:szCs w:val="40"/>
        </w:rPr>
        <w:t>具有良好的室内热湿环境。（8分）</w:t>
      </w:r>
    </w:p>
    <w:p w14:paraId="78EEEBD8">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211"/>
        <w:gridCol w:w="1077"/>
        <w:gridCol w:w="1576"/>
        <w:gridCol w:w="1410"/>
      </w:tblGrid>
      <w:tr w14:paraId="70CC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Align w:val="center"/>
          </w:tcPr>
          <w:p w14:paraId="5C2CCD2F">
            <w:pPr>
              <w:jc w:val="center"/>
              <w:rPr>
                <w:rFonts w:ascii="Times New Roman" w:hAnsi="Times New Roman" w:cs="Times New Roman"/>
                <w:szCs w:val="21"/>
              </w:rPr>
            </w:pPr>
            <w:r>
              <w:rPr>
                <w:rFonts w:ascii="Times New Roman" w:hAnsi="Times New Roman" w:cs="Times New Roman"/>
                <w:szCs w:val="21"/>
              </w:rPr>
              <w:t>序号</w:t>
            </w:r>
          </w:p>
        </w:tc>
        <w:tc>
          <w:tcPr>
            <w:tcW w:w="2659" w:type="pct"/>
            <w:gridSpan w:val="2"/>
            <w:vAlign w:val="center"/>
          </w:tcPr>
          <w:p w14:paraId="1BCB12D5">
            <w:pPr>
              <w:jc w:val="center"/>
              <w:rPr>
                <w:rFonts w:ascii="Times New Roman" w:hAnsi="Times New Roman" w:cs="Times New Roman"/>
                <w:szCs w:val="21"/>
              </w:rPr>
            </w:pPr>
            <w:r>
              <w:rPr>
                <w:rFonts w:ascii="Times New Roman" w:hAnsi="Times New Roman" w:cs="Times New Roman"/>
                <w:szCs w:val="21"/>
              </w:rPr>
              <w:t>评价内容</w:t>
            </w:r>
          </w:p>
        </w:tc>
        <w:tc>
          <w:tcPr>
            <w:tcW w:w="977" w:type="pct"/>
            <w:vAlign w:val="center"/>
          </w:tcPr>
          <w:p w14:paraId="32F52D0A">
            <w:pPr>
              <w:jc w:val="center"/>
              <w:rPr>
                <w:rFonts w:ascii="Times New Roman" w:hAnsi="Times New Roman" w:cs="Times New Roman"/>
                <w:szCs w:val="21"/>
              </w:rPr>
            </w:pPr>
            <w:r>
              <w:rPr>
                <w:rFonts w:ascii="Times New Roman" w:hAnsi="Times New Roman" w:cs="Times New Roman"/>
                <w:szCs w:val="21"/>
              </w:rPr>
              <w:t>评价分值</w:t>
            </w:r>
          </w:p>
        </w:tc>
        <w:tc>
          <w:tcPr>
            <w:tcW w:w="874" w:type="pct"/>
            <w:vAlign w:val="center"/>
          </w:tcPr>
          <w:p w14:paraId="29ED9C84">
            <w:pPr>
              <w:jc w:val="center"/>
              <w:rPr>
                <w:rFonts w:ascii="Times New Roman" w:hAnsi="Times New Roman" w:cs="Times New Roman"/>
                <w:szCs w:val="21"/>
              </w:rPr>
            </w:pPr>
            <w:r>
              <w:rPr>
                <w:rFonts w:ascii="Times New Roman" w:hAnsi="Times New Roman" w:cs="Times New Roman"/>
                <w:szCs w:val="21"/>
              </w:rPr>
              <w:t>自评得分</w:t>
            </w:r>
          </w:p>
        </w:tc>
      </w:tr>
      <w:tr w14:paraId="7420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90" w:type="pct"/>
            <w:vMerge w:val="restart"/>
            <w:vAlign w:val="center"/>
          </w:tcPr>
          <w:p w14:paraId="60C0B997">
            <w:pPr>
              <w:jc w:val="center"/>
              <w:rPr>
                <w:rFonts w:ascii="Times New Roman" w:hAnsi="Times New Roman" w:cs="Times New Roman"/>
                <w:szCs w:val="21"/>
              </w:rPr>
            </w:pPr>
            <w:r>
              <w:rPr>
                <w:rFonts w:ascii="Times New Roman" w:hAnsi="Times New Roman" w:cs="Times New Roman"/>
                <w:szCs w:val="21"/>
              </w:rPr>
              <w:t>1</w:t>
            </w:r>
          </w:p>
        </w:tc>
        <w:tc>
          <w:tcPr>
            <w:tcW w:w="1991" w:type="pct"/>
            <w:vMerge w:val="restart"/>
            <w:vAlign w:val="center"/>
          </w:tcPr>
          <w:p w14:paraId="7A0009FD">
            <w:pPr>
              <w:jc w:val="left"/>
              <w:rPr>
                <w:rFonts w:ascii="Times New Roman" w:hAnsi="Times New Roman" w:cs="Times New Roman"/>
                <w:szCs w:val="21"/>
              </w:rPr>
            </w:pPr>
            <w:r>
              <w:rPr>
                <w:rFonts w:hint="eastAsia" w:ascii="宋体" w:hAnsi="宋体" w:eastAsia="宋体" w:cs="Times New Roman"/>
                <w:szCs w:val="21"/>
              </w:rPr>
              <w:t>□</w:t>
            </w:r>
            <w:r>
              <w:rPr>
                <w:rFonts w:ascii="Times New Roman" w:hAnsi="Times New Roman" w:cs="Times New Roman"/>
                <w:szCs w:val="21"/>
              </w:rPr>
              <w:t>自然通风、复合通风：</w:t>
            </w:r>
          </w:p>
          <w:p w14:paraId="68E1D846">
            <w:pPr>
              <w:jc w:val="left"/>
              <w:rPr>
                <w:rFonts w:ascii="Times New Roman" w:hAnsi="Times New Roman" w:cs="Times New Roman"/>
                <w:szCs w:val="21"/>
              </w:rPr>
            </w:pPr>
            <w:r>
              <w:rPr>
                <w:rFonts w:ascii="Times New Roman" w:hAnsi="Times New Roman" w:cs="Times New Roman"/>
                <w:szCs w:val="21"/>
              </w:rPr>
              <w:t>主要功能房间室内热环境参数在适应性热舒适区域的时间比例</w:t>
            </w:r>
          </w:p>
        </w:tc>
        <w:tc>
          <w:tcPr>
            <w:tcW w:w="668" w:type="pct"/>
            <w:vAlign w:val="center"/>
          </w:tcPr>
          <w:p w14:paraId="11A1F25B">
            <w:pPr>
              <w:jc w:val="center"/>
              <w:rPr>
                <w:rFonts w:ascii="Times New Roman" w:hAnsi="Times New Roman" w:cs="Times New Roman"/>
                <w:szCs w:val="21"/>
              </w:rPr>
            </w:pPr>
            <w:r>
              <w:rPr>
                <w:rFonts w:ascii="Times New Roman" w:hAnsi="Times New Roman" w:cs="Times New Roman"/>
                <w:szCs w:val="21"/>
              </w:rPr>
              <w:t>30%</w:t>
            </w:r>
          </w:p>
        </w:tc>
        <w:tc>
          <w:tcPr>
            <w:tcW w:w="977" w:type="pct"/>
            <w:vAlign w:val="center"/>
          </w:tcPr>
          <w:p w14:paraId="51B59C95">
            <w:pPr>
              <w:jc w:val="center"/>
              <w:rPr>
                <w:rFonts w:ascii="Times New Roman" w:hAnsi="Times New Roman" w:cs="Times New Roman"/>
                <w:szCs w:val="21"/>
              </w:rPr>
            </w:pPr>
            <w:r>
              <w:rPr>
                <w:rFonts w:ascii="Times New Roman" w:hAnsi="Times New Roman" w:cs="Times New Roman"/>
                <w:szCs w:val="21"/>
              </w:rPr>
              <w:t>2</w:t>
            </w:r>
          </w:p>
        </w:tc>
        <w:sdt>
          <w:sdtPr>
            <w:rPr>
              <w:rFonts w:ascii="Times New Roman" w:hAnsi="Times New Roman" w:eastAsia="宋体" w:cs="Times New Roman"/>
              <w:szCs w:val="21"/>
            </w:rPr>
            <w:id w:val="2005000710"/>
            <w:placeholder>
              <w:docPart w:val="416ECF8F39514051976851404AD8E9ED"/>
            </w:placeholder>
            <w:text/>
          </w:sdtPr>
          <w:sdtEndPr>
            <w:rPr>
              <w:rFonts w:hint="eastAsia" w:ascii="Times New Roman" w:hAnsi="Times New Roman" w:eastAsia="宋体" w:cs="Times New Roman"/>
              <w:szCs w:val="21"/>
            </w:rPr>
          </w:sdtEndPr>
          <w:sdtContent>
            <w:tc>
              <w:tcPr>
                <w:tcW w:w="874" w:type="pct"/>
                <w:vMerge w:val="restart"/>
                <w:vAlign w:val="center"/>
              </w:tcPr>
              <w:p w14:paraId="61202BE0">
                <w:pPr>
                  <w:jc w:val="center"/>
                  <w:rPr>
                    <w:rFonts w:ascii="Times New Roman" w:hAnsi="Times New Roman" w:cs="Times New Roman"/>
                    <w:szCs w:val="21"/>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14:paraId="0EC2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14:paraId="782E55F4">
            <w:pPr>
              <w:jc w:val="center"/>
              <w:rPr>
                <w:rFonts w:ascii="Times New Roman" w:hAnsi="Times New Roman" w:cs="Times New Roman"/>
                <w:szCs w:val="21"/>
              </w:rPr>
            </w:pPr>
          </w:p>
        </w:tc>
        <w:tc>
          <w:tcPr>
            <w:tcW w:w="1991" w:type="pct"/>
            <w:vMerge w:val="continue"/>
            <w:vAlign w:val="center"/>
          </w:tcPr>
          <w:p w14:paraId="7239BF2F">
            <w:pPr>
              <w:jc w:val="left"/>
              <w:rPr>
                <w:rFonts w:ascii="Times New Roman" w:hAnsi="Times New Roman" w:cs="Times New Roman"/>
                <w:szCs w:val="21"/>
              </w:rPr>
            </w:pPr>
          </w:p>
        </w:tc>
        <w:tc>
          <w:tcPr>
            <w:tcW w:w="668" w:type="pct"/>
            <w:vAlign w:val="center"/>
          </w:tcPr>
          <w:p w14:paraId="0A46B18D">
            <w:pPr>
              <w:jc w:val="center"/>
              <w:rPr>
                <w:rFonts w:ascii="Times New Roman" w:hAnsi="Times New Roman" w:cs="Times New Roman"/>
                <w:szCs w:val="21"/>
              </w:rPr>
            </w:pPr>
            <w:r>
              <w:rPr>
                <w:rFonts w:ascii="Times New Roman" w:hAnsi="Times New Roman" w:cs="Times New Roman"/>
                <w:szCs w:val="21"/>
              </w:rPr>
              <w:t>40%</w:t>
            </w:r>
          </w:p>
        </w:tc>
        <w:tc>
          <w:tcPr>
            <w:tcW w:w="977" w:type="pct"/>
            <w:vAlign w:val="center"/>
          </w:tcPr>
          <w:p w14:paraId="4CDBF3C7">
            <w:pPr>
              <w:jc w:val="center"/>
              <w:rPr>
                <w:rFonts w:ascii="Times New Roman" w:hAnsi="Times New Roman" w:cs="Times New Roman"/>
                <w:szCs w:val="21"/>
              </w:rPr>
            </w:pPr>
            <w:r>
              <w:rPr>
                <w:rFonts w:ascii="Times New Roman" w:hAnsi="Times New Roman" w:cs="Times New Roman"/>
                <w:szCs w:val="21"/>
              </w:rPr>
              <w:t>3</w:t>
            </w:r>
          </w:p>
        </w:tc>
        <w:tc>
          <w:tcPr>
            <w:tcW w:w="874" w:type="pct"/>
            <w:vMerge w:val="continue"/>
            <w:vAlign w:val="center"/>
          </w:tcPr>
          <w:p w14:paraId="4FBED1F7">
            <w:pPr>
              <w:jc w:val="center"/>
              <w:rPr>
                <w:rFonts w:ascii="Times New Roman" w:hAnsi="Times New Roman" w:cs="Times New Roman"/>
                <w:szCs w:val="21"/>
              </w:rPr>
            </w:pPr>
          </w:p>
        </w:tc>
      </w:tr>
      <w:tr w14:paraId="6EE3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14:paraId="71B3AF95">
            <w:pPr>
              <w:jc w:val="center"/>
              <w:rPr>
                <w:rFonts w:ascii="Times New Roman" w:hAnsi="Times New Roman" w:cs="Times New Roman"/>
                <w:szCs w:val="21"/>
              </w:rPr>
            </w:pPr>
          </w:p>
        </w:tc>
        <w:tc>
          <w:tcPr>
            <w:tcW w:w="1991" w:type="pct"/>
            <w:vMerge w:val="continue"/>
            <w:vAlign w:val="center"/>
          </w:tcPr>
          <w:p w14:paraId="74373425">
            <w:pPr>
              <w:jc w:val="left"/>
              <w:rPr>
                <w:rFonts w:ascii="Times New Roman" w:hAnsi="Times New Roman" w:cs="Times New Roman"/>
                <w:szCs w:val="21"/>
              </w:rPr>
            </w:pPr>
          </w:p>
        </w:tc>
        <w:tc>
          <w:tcPr>
            <w:tcW w:w="668" w:type="pct"/>
            <w:vAlign w:val="center"/>
          </w:tcPr>
          <w:p w14:paraId="092570CC">
            <w:pPr>
              <w:jc w:val="center"/>
              <w:rPr>
                <w:rFonts w:ascii="Times New Roman" w:hAnsi="Times New Roman" w:cs="Times New Roman"/>
                <w:szCs w:val="21"/>
              </w:rPr>
            </w:pPr>
            <w:r>
              <w:rPr>
                <w:rFonts w:ascii="Times New Roman" w:hAnsi="Times New Roman" w:cs="Times New Roman"/>
                <w:szCs w:val="21"/>
              </w:rPr>
              <w:t>50%</w:t>
            </w:r>
          </w:p>
        </w:tc>
        <w:tc>
          <w:tcPr>
            <w:tcW w:w="977" w:type="pct"/>
            <w:vAlign w:val="center"/>
          </w:tcPr>
          <w:p w14:paraId="36C676E5">
            <w:pPr>
              <w:jc w:val="center"/>
              <w:rPr>
                <w:rFonts w:ascii="Times New Roman" w:hAnsi="Times New Roman" w:cs="Times New Roman"/>
                <w:szCs w:val="21"/>
              </w:rPr>
            </w:pPr>
            <w:r>
              <w:rPr>
                <w:rFonts w:ascii="Times New Roman" w:hAnsi="Times New Roman" w:cs="Times New Roman"/>
                <w:szCs w:val="21"/>
              </w:rPr>
              <w:t>4</w:t>
            </w:r>
          </w:p>
        </w:tc>
        <w:tc>
          <w:tcPr>
            <w:tcW w:w="874" w:type="pct"/>
            <w:vMerge w:val="continue"/>
            <w:vAlign w:val="center"/>
          </w:tcPr>
          <w:p w14:paraId="4BD7808A">
            <w:pPr>
              <w:jc w:val="center"/>
              <w:rPr>
                <w:rFonts w:ascii="Times New Roman" w:hAnsi="Times New Roman" w:cs="Times New Roman"/>
                <w:szCs w:val="21"/>
              </w:rPr>
            </w:pPr>
          </w:p>
        </w:tc>
      </w:tr>
      <w:tr w14:paraId="0ED0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14:paraId="40ED2E48">
            <w:pPr>
              <w:jc w:val="center"/>
              <w:rPr>
                <w:rFonts w:ascii="Times New Roman" w:hAnsi="Times New Roman" w:cs="Times New Roman"/>
                <w:szCs w:val="21"/>
              </w:rPr>
            </w:pPr>
          </w:p>
        </w:tc>
        <w:tc>
          <w:tcPr>
            <w:tcW w:w="1991" w:type="pct"/>
            <w:vMerge w:val="continue"/>
            <w:vAlign w:val="center"/>
          </w:tcPr>
          <w:p w14:paraId="0676997C">
            <w:pPr>
              <w:jc w:val="left"/>
              <w:rPr>
                <w:rFonts w:ascii="Times New Roman" w:hAnsi="Times New Roman" w:cs="Times New Roman"/>
                <w:szCs w:val="21"/>
              </w:rPr>
            </w:pPr>
          </w:p>
        </w:tc>
        <w:tc>
          <w:tcPr>
            <w:tcW w:w="668" w:type="pct"/>
            <w:vAlign w:val="center"/>
          </w:tcPr>
          <w:p w14:paraId="56A7253D">
            <w:pPr>
              <w:jc w:val="center"/>
              <w:rPr>
                <w:rFonts w:ascii="Times New Roman" w:hAnsi="Times New Roman" w:cs="Times New Roman"/>
                <w:szCs w:val="21"/>
              </w:rPr>
            </w:pPr>
            <w:r>
              <w:rPr>
                <w:rFonts w:ascii="Times New Roman" w:hAnsi="Times New Roman" w:cs="Times New Roman"/>
                <w:szCs w:val="21"/>
              </w:rPr>
              <w:t>60%</w:t>
            </w:r>
          </w:p>
        </w:tc>
        <w:tc>
          <w:tcPr>
            <w:tcW w:w="977" w:type="pct"/>
            <w:vAlign w:val="center"/>
          </w:tcPr>
          <w:p w14:paraId="61EC5E44">
            <w:pPr>
              <w:jc w:val="center"/>
              <w:rPr>
                <w:rFonts w:ascii="Times New Roman" w:hAnsi="Times New Roman" w:cs="Times New Roman"/>
                <w:szCs w:val="21"/>
              </w:rPr>
            </w:pPr>
            <w:r>
              <w:rPr>
                <w:rFonts w:ascii="Times New Roman" w:hAnsi="Times New Roman" w:cs="Times New Roman"/>
                <w:szCs w:val="21"/>
              </w:rPr>
              <w:t>5</w:t>
            </w:r>
          </w:p>
        </w:tc>
        <w:tc>
          <w:tcPr>
            <w:tcW w:w="874" w:type="pct"/>
            <w:vMerge w:val="continue"/>
            <w:vAlign w:val="center"/>
          </w:tcPr>
          <w:p w14:paraId="16DC4E5C">
            <w:pPr>
              <w:jc w:val="center"/>
              <w:rPr>
                <w:rFonts w:ascii="Times New Roman" w:hAnsi="Times New Roman" w:cs="Times New Roman"/>
                <w:szCs w:val="21"/>
              </w:rPr>
            </w:pPr>
          </w:p>
        </w:tc>
      </w:tr>
      <w:tr w14:paraId="0F62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14:paraId="53071B17">
            <w:pPr>
              <w:jc w:val="center"/>
              <w:rPr>
                <w:rFonts w:ascii="Times New Roman" w:hAnsi="Times New Roman" w:cs="Times New Roman"/>
                <w:szCs w:val="21"/>
              </w:rPr>
            </w:pPr>
          </w:p>
        </w:tc>
        <w:tc>
          <w:tcPr>
            <w:tcW w:w="1991" w:type="pct"/>
            <w:vMerge w:val="continue"/>
            <w:vAlign w:val="center"/>
          </w:tcPr>
          <w:p w14:paraId="24620AE1">
            <w:pPr>
              <w:jc w:val="left"/>
              <w:rPr>
                <w:rFonts w:ascii="Times New Roman" w:hAnsi="Times New Roman" w:cs="Times New Roman"/>
                <w:szCs w:val="21"/>
              </w:rPr>
            </w:pPr>
          </w:p>
        </w:tc>
        <w:tc>
          <w:tcPr>
            <w:tcW w:w="668" w:type="pct"/>
            <w:vAlign w:val="center"/>
          </w:tcPr>
          <w:p w14:paraId="1BA2D90A">
            <w:pPr>
              <w:jc w:val="center"/>
              <w:rPr>
                <w:rFonts w:ascii="Times New Roman" w:hAnsi="Times New Roman" w:cs="Times New Roman"/>
                <w:szCs w:val="21"/>
              </w:rPr>
            </w:pPr>
            <w:r>
              <w:rPr>
                <w:rFonts w:ascii="Times New Roman" w:hAnsi="Times New Roman" w:cs="Times New Roman"/>
                <w:szCs w:val="21"/>
              </w:rPr>
              <w:t>70%</w:t>
            </w:r>
          </w:p>
        </w:tc>
        <w:tc>
          <w:tcPr>
            <w:tcW w:w="977" w:type="pct"/>
            <w:vAlign w:val="center"/>
          </w:tcPr>
          <w:p w14:paraId="5BA07BF4">
            <w:pPr>
              <w:jc w:val="center"/>
              <w:rPr>
                <w:rFonts w:ascii="Times New Roman" w:hAnsi="Times New Roman" w:cs="Times New Roman"/>
                <w:szCs w:val="21"/>
              </w:rPr>
            </w:pPr>
            <w:r>
              <w:rPr>
                <w:rFonts w:ascii="Times New Roman" w:hAnsi="Times New Roman" w:cs="Times New Roman"/>
                <w:szCs w:val="21"/>
              </w:rPr>
              <w:t>6</w:t>
            </w:r>
          </w:p>
        </w:tc>
        <w:tc>
          <w:tcPr>
            <w:tcW w:w="874" w:type="pct"/>
            <w:vMerge w:val="continue"/>
            <w:vAlign w:val="center"/>
          </w:tcPr>
          <w:p w14:paraId="0A4D7A4E">
            <w:pPr>
              <w:jc w:val="center"/>
              <w:rPr>
                <w:rFonts w:ascii="Times New Roman" w:hAnsi="Times New Roman" w:cs="Times New Roman"/>
                <w:szCs w:val="21"/>
              </w:rPr>
            </w:pPr>
          </w:p>
        </w:tc>
      </w:tr>
      <w:tr w14:paraId="4BB8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14:paraId="35BB5046">
            <w:pPr>
              <w:jc w:val="center"/>
              <w:rPr>
                <w:rFonts w:ascii="Times New Roman" w:hAnsi="Times New Roman" w:cs="Times New Roman"/>
                <w:szCs w:val="21"/>
              </w:rPr>
            </w:pPr>
          </w:p>
        </w:tc>
        <w:tc>
          <w:tcPr>
            <w:tcW w:w="1991" w:type="pct"/>
            <w:vMerge w:val="continue"/>
            <w:vAlign w:val="center"/>
          </w:tcPr>
          <w:p w14:paraId="1CA94344">
            <w:pPr>
              <w:jc w:val="left"/>
              <w:rPr>
                <w:rFonts w:ascii="Times New Roman" w:hAnsi="Times New Roman" w:cs="Times New Roman"/>
                <w:szCs w:val="21"/>
              </w:rPr>
            </w:pPr>
          </w:p>
        </w:tc>
        <w:tc>
          <w:tcPr>
            <w:tcW w:w="668" w:type="pct"/>
            <w:vAlign w:val="center"/>
          </w:tcPr>
          <w:p w14:paraId="01DDF703">
            <w:pPr>
              <w:jc w:val="center"/>
              <w:rPr>
                <w:rFonts w:ascii="Times New Roman" w:hAnsi="Times New Roman" w:cs="Times New Roman"/>
                <w:szCs w:val="21"/>
              </w:rPr>
            </w:pPr>
            <w:r>
              <w:rPr>
                <w:rFonts w:ascii="Times New Roman" w:hAnsi="Times New Roman" w:cs="Times New Roman"/>
                <w:szCs w:val="21"/>
              </w:rPr>
              <w:t>80%</w:t>
            </w:r>
          </w:p>
        </w:tc>
        <w:tc>
          <w:tcPr>
            <w:tcW w:w="977" w:type="pct"/>
            <w:vAlign w:val="center"/>
          </w:tcPr>
          <w:p w14:paraId="75D81EFC">
            <w:pPr>
              <w:jc w:val="center"/>
              <w:rPr>
                <w:rFonts w:ascii="Times New Roman" w:hAnsi="Times New Roman" w:cs="Times New Roman"/>
                <w:szCs w:val="21"/>
              </w:rPr>
            </w:pPr>
            <w:r>
              <w:rPr>
                <w:rFonts w:ascii="Times New Roman" w:hAnsi="Times New Roman" w:cs="Times New Roman"/>
                <w:szCs w:val="21"/>
              </w:rPr>
              <w:t>7</w:t>
            </w:r>
          </w:p>
        </w:tc>
        <w:tc>
          <w:tcPr>
            <w:tcW w:w="874" w:type="pct"/>
            <w:vMerge w:val="continue"/>
            <w:vAlign w:val="center"/>
          </w:tcPr>
          <w:p w14:paraId="521DBD70">
            <w:pPr>
              <w:jc w:val="center"/>
              <w:rPr>
                <w:rFonts w:ascii="Times New Roman" w:hAnsi="Times New Roman" w:cs="Times New Roman"/>
                <w:szCs w:val="21"/>
              </w:rPr>
            </w:pPr>
          </w:p>
        </w:tc>
      </w:tr>
      <w:tr w14:paraId="6A43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90" w:type="pct"/>
            <w:vMerge w:val="continue"/>
            <w:vAlign w:val="center"/>
          </w:tcPr>
          <w:p w14:paraId="4BC1C4AD">
            <w:pPr>
              <w:jc w:val="center"/>
              <w:rPr>
                <w:rFonts w:ascii="Times New Roman" w:hAnsi="Times New Roman" w:cs="Times New Roman"/>
                <w:szCs w:val="21"/>
              </w:rPr>
            </w:pPr>
          </w:p>
        </w:tc>
        <w:tc>
          <w:tcPr>
            <w:tcW w:w="1991" w:type="pct"/>
            <w:vMerge w:val="continue"/>
            <w:vAlign w:val="center"/>
          </w:tcPr>
          <w:p w14:paraId="344A79E0">
            <w:pPr>
              <w:jc w:val="left"/>
              <w:rPr>
                <w:rFonts w:ascii="Times New Roman" w:hAnsi="Times New Roman" w:cs="Times New Roman"/>
                <w:szCs w:val="21"/>
              </w:rPr>
            </w:pPr>
          </w:p>
        </w:tc>
        <w:tc>
          <w:tcPr>
            <w:tcW w:w="668" w:type="pct"/>
            <w:vAlign w:val="center"/>
          </w:tcPr>
          <w:p w14:paraId="50D64CE6">
            <w:pPr>
              <w:jc w:val="center"/>
              <w:rPr>
                <w:rFonts w:ascii="Times New Roman" w:hAnsi="Times New Roman" w:cs="Times New Roman"/>
                <w:szCs w:val="21"/>
              </w:rPr>
            </w:pPr>
            <w:r>
              <w:rPr>
                <w:rFonts w:ascii="Times New Roman" w:hAnsi="Times New Roman" w:cs="Times New Roman"/>
                <w:szCs w:val="21"/>
              </w:rPr>
              <w:t>90%及以上</w:t>
            </w:r>
          </w:p>
        </w:tc>
        <w:tc>
          <w:tcPr>
            <w:tcW w:w="977" w:type="pct"/>
            <w:vAlign w:val="center"/>
          </w:tcPr>
          <w:p w14:paraId="4822BAAE">
            <w:pPr>
              <w:jc w:val="center"/>
              <w:rPr>
                <w:rFonts w:ascii="Times New Roman" w:hAnsi="Times New Roman" w:cs="Times New Roman"/>
                <w:szCs w:val="21"/>
              </w:rPr>
            </w:pPr>
            <w:r>
              <w:rPr>
                <w:rFonts w:ascii="Times New Roman" w:hAnsi="Times New Roman" w:cs="Times New Roman"/>
                <w:szCs w:val="21"/>
              </w:rPr>
              <w:t>8</w:t>
            </w:r>
          </w:p>
        </w:tc>
        <w:tc>
          <w:tcPr>
            <w:tcW w:w="874" w:type="pct"/>
            <w:vMerge w:val="continue"/>
            <w:vAlign w:val="center"/>
          </w:tcPr>
          <w:p w14:paraId="0A5E0F9D">
            <w:pPr>
              <w:jc w:val="center"/>
              <w:rPr>
                <w:rFonts w:ascii="Times New Roman" w:hAnsi="Times New Roman" w:cs="Times New Roman"/>
                <w:szCs w:val="21"/>
              </w:rPr>
            </w:pPr>
          </w:p>
        </w:tc>
      </w:tr>
      <w:tr w14:paraId="4569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pct"/>
            <w:vMerge w:val="restart"/>
            <w:vAlign w:val="center"/>
          </w:tcPr>
          <w:p w14:paraId="48DA33CB">
            <w:pPr>
              <w:jc w:val="center"/>
              <w:rPr>
                <w:rFonts w:ascii="Times New Roman" w:hAnsi="Times New Roman" w:cs="Times New Roman"/>
                <w:szCs w:val="21"/>
              </w:rPr>
            </w:pPr>
            <w:r>
              <w:rPr>
                <w:rFonts w:ascii="Times New Roman" w:hAnsi="Times New Roman" w:cs="Times New Roman"/>
                <w:szCs w:val="21"/>
              </w:rPr>
              <w:t>2</w:t>
            </w:r>
          </w:p>
        </w:tc>
        <w:tc>
          <w:tcPr>
            <w:tcW w:w="1991" w:type="pct"/>
            <w:vMerge w:val="restart"/>
            <w:vAlign w:val="center"/>
          </w:tcPr>
          <w:p w14:paraId="61DA0686">
            <w:pPr>
              <w:jc w:val="left"/>
              <w:rPr>
                <w:rFonts w:ascii="Times New Roman" w:hAnsi="Times New Roman" w:cs="Times New Roman"/>
                <w:szCs w:val="21"/>
              </w:rPr>
            </w:pPr>
            <w:r>
              <w:rPr>
                <w:rFonts w:hint="eastAsia" w:ascii="宋体" w:hAnsi="宋体" w:eastAsia="宋体" w:cs="Times New Roman"/>
                <w:szCs w:val="21"/>
              </w:rPr>
              <w:t>□</w:t>
            </w:r>
            <w:r>
              <w:rPr>
                <w:rFonts w:ascii="Times New Roman" w:hAnsi="Times New Roman" w:cs="Times New Roman"/>
                <w:szCs w:val="21"/>
              </w:rPr>
              <w:t>人工冷热源：</w:t>
            </w:r>
          </w:p>
          <w:p w14:paraId="48890B34">
            <w:pPr>
              <w:jc w:val="left"/>
              <w:rPr>
                <w:rFonts w:ascii="Times New Roman" w:hAnsi="Times New Roman" w:cs="Times New Roman"/>
                <w:szCs w:val="21"/>
              </w:rPr>
            </w:pPr>
            <w:r>
              <w:rPr>
                <w:rFonts w:ascii="Times New Roman" w:hAnsi="Times New Roman" w:cs="Times New Roman"/>
                <w:szCs w:val="21"/>
              </w:rPr>
              <w:t>主要功能房间达到现行国家标准《民用建筑室内热湿环境评价标准》规定的室内人工冷热源热湿环境整体评价II级面积比例</w:t>
            </w:r>
          </w:p>
        </w:tc>
        <w:tc>
          <w:tcPr>
            <w:tcW w:w="668" w:type="pct"/>
            <w:vAlign w:val="center"/>
          </w:tcPr>
          <w:p w14:paraId="7CD6F619">
            <w:pPr>
              <w:jc w:val="center"/>
              <w:rPr>
                <w:rFonts w:ascii="Times New Roman" w:hAnsi="Times New Roman" w:cs="Times New Roman"/>
                <w:szCs w:val="21"/>
              </w:rPr>
            </w:pPr>
            <w:r>
              <w:rPr>
                <w:rFonts w:ascii="Times New Roman" w:hAnsi="Times New Roman" w:cs="Times New Roman"/>
                <w:szCs w:val="21"/>
              </w:rPr>
              <w:t>60%</w:t>
            </w:r>
          </w:p>
        </w:tc>
        <w:tc>
          <w:tcPr>
            <w:tcW w:w="977" w:type="pct"/>
            <w:vAlign w:val="center"/>
          </w:tcPr>
          <w:p w14:paraId="03F8DDE7">
            <w:pPr>
              <w:jc w:val="center"/>
              <w:rPr>
                <w:rFonts w:ascii="Times New Roman" w:hAnsi="Times New Roman" w:cs="Times New Roman"/>
                <w:szCs w:val="21"/>
              </w:rPr>
            </w:pPr>
            <w:r>
              <w:rPr>
                <w:rFonts w:ascii="Times New Roman" w:hAnsi="Times New Roman" w:cs="Times New Roman"/>
                <w:szCs w:val="21"/>
              </w:rPr>
              <w:t>5</w:t>
            </w:r>
          </w:p>
        </w:tc>
        <w:tc>
          <w:tcPr>
            <w:tcW w:w="874" w:type="pct"/>
            <w:vMerge w:val="continue"/>
            <w:vAlign w:val="center"/>
          </w:tcPr>
          <w:p w14:paraId="77996E05">
            <w:pPr>
              <w:jc w:val="center"/>
              <w:rPr>
                <w:rFonts w:ascii="Times New Roman" w:hAnsi="Times New Roman" w:cs="Times New Roman"/>
                <w:szCs w:val="21"/>
              </w:rPr>
            </w:pPr>
          </w:p>
        </w:tc>
      </w:tr>
      <w:tr w14:paraId="4B8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90" w:type="pct"/>
            <w:vMerge w:val="continue"/>
            <w:vAlign w:val="center"/>
          </w:tcPr>
          <w:p w14:paraId="66E3D0F4">
            <w:pPr>
              <w:jc w:val="center"/>
              <w:rPr>
                <w:rFonts w:ascii="Times New Roman" w:hAnsi="Times New Roman" w:cs="Times New Roman"/>
                <w:szCs w:val="21"/>
              </w:rPr>
            </w:pPr>
          </w:p>
        </w:tc>
        <w:tc>
          <w:tcPr>
            <w:tcW w:w="1991" w:type="pct"/>
            <w:vMerge w:val="continue"/>
            <w:vAlign w:val="center"/>
          </w:tcPr>
          <w:p w14:paraId="0966A177">
            <w:pPr>
              <w:jc w:val="center"/>
              <w:rPr>
                <w:rFonts w:ascii="Times New Roman" w:hAnsi="Times New Roman" w:cs="Times New Roman"/>
                <w:szCs w:val="21"/>
              </w:rPr>
            </w:pPr>
          </w:p>
        </w:tc>
        <w:tc>
          <w:tcPr>
            <w:tcW w:w="668" w:type="pct"/>
            <w:vAlign w:val="center"/>
          </w:tcPr>
          <w:p w14:paraId="1B7C2DA2">
            <w:pPr>
              <w:jc w:val="center"/>
              <w:rPr>
                <w:rFonts w:ascii="Times New Roman" w:hAnsi="Times New Roman" w:cs="Times New Roman"/>
                <w:szCs w:val="21"/>
              </w:rPr>
            </w:pPr>
            <w:r>
              <w:rPr>
                <w:rFonts w:ascii="Times New Roman" w:hAnsi="Times New Roman" w:cs="Times New Roman"/>
                <w:szCs w:val="21"/>
              </w:rPr>
              <w:t>70%</w:t>
            </w:r>
          </w:p>
        </w:tc>
        <w:tc>
          <w:tcPr>
            <w:tcW w:w="977" w:type="pct"/>
            <w:vAlign w:val="center"/>
          </w:tcPr>
          <w:p w14:paraId="66D4134A">
            <w:pPr>
              <w:jc w:val="center"/>
              <w:rPr>
                <w:rFonts w:ascii="Times New Roman" w:hAnsi="Times New Roman" w:cs="Times New Roman"/>
                <w:szCs w:val="21"/>
              </w:rPr>
            </w:pPr>
            <w:r>
              <w:rPr>
                <w:rFonts w:ascii="Times New Roman" w:hAnsi="Times New Roman" w:cs="Times New Roman"/>
                <w:szCs w:val="21"/>
              </w:rPr>
              <w:t>6</w:t>
            </w:r>
          </w:p>
        </w:tc>
        <w:tc>
          <w:tcPr>
            <w:tcW w:w="874" w:type="pct"/>
            <w:vMerge w:val="continue"/>
            <w:vAlign w:val="center"/>
          </w:tcPr>
          <w:p w14:paraId="79902739">
            <w:pPr>
              <w:jc w:val="center"/>
              <w:rPr>
                <w:rFonts w:ascii="Times New Roman" w:hAnsi="Times New Roman" w:cs="Times New Roman"/>
                <w:szCs w:val="21"/>
              </w:rPr>
            </w:pPr>
          </w:p>
        </w:tc>
      </w:tr>
      <w:tr w14:paraId="2D9E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90" w:type="pct"/>
            <w:vMerge w:val="continue"/>
            <w:vAlign w:val="center"/>
          </w:tcPr>
          <w:p w14:paraId="71CAD964">
            <w:pPr>
              <w:jc w:val="center"/>
              <w:rPr>
                <w:rFonts w:ascii="Times New Roman" w:hAnsi="Times New Roman" w:cs="Times New Roman"/>
                <w:szCs w:val="21"/>
              </w:rPr>
            </w:pPr>
          </w:p>
        </w:tc>
        <w:tc>
          <w:tcPr>
            <w:tcW w:w="1991" w:type="pct"/>
            <w:vMerge w:val="continue"/>
            <w:vAlign w:val="center"/>
          </w:tcPr>
          <w:p w14:paraId="2A7570D6">
            <w:pPr>
              <w:jc w:val="center"/>
              <w:rPr>
                <w:rFonts w:ascii="Times New Roman" w:hAnsi="Times New Roman" w:cs="Times New Roman"/>
                <w:szCs w:val="21"/>
              </w:rPr>
            </w:pPr>
          </w:p>
        </w:tc>
        <w:tc>
          <w:tcPr>
            <w:tcW w:w="668" w:type="pct"/>
            <w:vAlign w:val="center"/>
          </w:tcPr>
          <w:p w14:paraId="05FF4363">
            <w:pPr>
              <w:jc w:val="center"/>
              <w:rPr>
                <w:rFonts w:ascii="Times New Roman" w:hAnsi="Times New Roman" w:cs="Times New Roman"/>
                <w:szCs w:val="21"/>
              </w:rPr>
            </w:pPr>
            <w:r>
              <w:rPr>
                <w:rFonts w:ascii="Times New Roman" w:hAnsi="Times New Roman" w:cs="Times New Roman"/>
                <w:szCs w:val="21"/>
              </w:rPr>
              <w:t>80%</w:t>
            </w:r>
          </w:p>
        </w:tc>
        <w:tc>
          <w:tcPr>
            <w:tcW w:w="977" w:type="pct"/>
            <w:vAlign w:val="center"/>
          </w:tcPr>
          <w:p w14:paraId="2D81499D">
            <w:pPr>
              <w:jc w:val="center"/>
              <w:rPr>
                <w:rFonts w:ascii="Times New Roman" w:hAnsi="Times New Roman" w:cs="Times New Roman"/>
                <w:szCs w:val="21"/>
              </w:rPr>
            </w:pPr>
            <w:r>
              <w:rPr>
                <w:rFonts w:ascii="Times New Roman" w:hAnsi="Times New Roman" w:cs="Times New Roman"/>
                <w:szCs w:val="21"/>
              </w:rPr>
              <w:t>7</w:t>
            </w:r>
          </w:p>
        </w:tc>
        <w:tc>
          <w:tcPr>
            <w:tcW w:w="874" w:type="pct"/>
            <w:vMerge w:val="continue"/>
            <w:vAlign w:val="center"/>
          </w:tcPr>
          <w:p w14:paraId="4FDF4B35">
            <w:pPr>
              <w:jc w:val="center"/>
              <w:rPr>
                <w:rFonts w:ascii="Times New Roman" w:hAnsi="Times New Roman" w:cs="Times New Roman"/>
                <w:szCs w:val="21"/>
              </w:rPr>
            </w:pPr>
          </w:p>
        </w:tc>
      </w:tr>
      <w:tr w14:paraId="5A13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90" w:type="pct"/>
            <w:vMerge w:val="continue"/>
            <w:vAlign w:val="center"/>
          </w:tcPr>
          <w:p w14:paraId="28AB8761">
            <w:pPr>
              <w:jc w:val="center"/>
              <w:rPr>
                <w:rFonts w:ascii="Times New Roman" w:hAnsi="Times New Roman" w:cs="Times New Roman"/>
                <w:szCs w:val="21"/>
              </w:rPr>
            </w:pPr>
          </w:p>
        </w:tc>
        <w:tc>
          <w:tcPr>
            <w:tcW w:w="1991" w:type="pct"/>
            <w:vMerge w:val="continue"/>
            <w:vAlign w:val="center"/>
          </w:tcPr>
          <w:p w14:paraId="4DAE6D10">
            <w:pPr>
              <w:jc w:val="center"/>
              <w:rPr>
                <w:rFonts w:ascii="Times New Roman" w:hAnsi="Times New Roman" w:cs="Times New Roman"/>
                <w:szCs w:val="21"/>
              </w:rPr>
            </w:pPr>
          </w:p>
        </w:tc>
        <w:tc>
          <w:tcPr>
            <w:tcW w:w="668" w:type="pct"/>
            <w:vAlign w:val="center"/>
          </w:tcPr>
          <w:p w14:paraId="2B846496">
            <w:pPr>
              <w:jc w:val="center"/>
              <w:rPr>
                <w:rFonts w:ascii="Times New Roman" w:hAnsi="Times New Roman" w:cs="Times New Roman"/>
                <w:szCs w:val="21"/>
              </w:rPr>
            </w:pPr>
            <w:r>
              <w:rPr>
                <w:rFonts w:ascii="Times New Roman" w:hAnsi="Times New Roman" w:cs="Times New Roman"/>
                <w:szCs w:val="21"/>
              </w:rPr>
              <w:t>90%</w:t>
            </w:r>
          </w:p>
        </w:tc>
        <w:tc>
          <w:tcPr>
            <w:tcW w:w="977" w:type="pct"/>
            <w:vAlign w:val="center"/>
          </w:tcPr>
          <w:p w14:paraId="137DD7EA">
            <w:pPr>
              <w:jc w:val="center"/>
              <w:rPr>
                <w:rFonts w:ascii="Times New Roman" w:hAnsi="Times New Roman" w:cs="Times New Roman"/>
                <w:szCs w:val="21"/>
              </w:rPr>
            </w:pPr>
            <w:r>
              <w:rPr>
                <w:rFonts w:ascii="Times New Roman" w:hAnsi="Times New Roman" w:cs="Times New Roman"/>
                <w:szCs w:val="21"/>
              </w:rPr>
              <w:t>8</w:t>
            </w:r>
          </w:p>
        </w:tc>
        <w:tc>
          <w:tcPr>
            <w:tcW w:w="874" w:type="pct"/>
            <w:vMerge w:val="continue"/>
            <w:vAlign w:val="center"/>
          </w:tcPr>
          <w:p w14:paraId="1563638E">
            <w:pPr>
              <w:jc w:val="center"/>
              <w:rPr>
                <w:rFonts w:ascii="Times New Roman" w:hAnsi="Times New Roman" w:cs="Times New Roman"/>
                <w:szCs w:val="21"/>
              </w:rPr>
            </w:pPr>
          </w:p>
        </w:tc>
      </w:tr>
    </w:tbl>
    <w:p w14:paraId="6FF26EF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6216A6A9">
      <w:pPr>
        <w:rPr>
          <w:rFonts w:ascii="Times New Roman" w:hAnsi="Times New Roman" w:eastAsia="宋体" w:cs="Times New Roman"/>
          <w:szCs w:val="21"/>
        </w:rPr>
      </w:pPr>
      <w:r>
        <w:rPr>
          <w:rFonts w:hint="eastAsia" w:ascii="Times New Roman" w:hAnsi="Times New Roman" w:eastAsia="宋体" w:cs="Times New Roman"/>
          <w:szCs w:val="21"/>
        </w:rPr>
        <w:t>请对室内热湿环境及热舒适保持时间进行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A8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9356" w:type="dxa"/>
          </w:tcPr>
          <w:p w14:paraId="298B060D">
            <w:pPr>
              <w:rPr>
                <w:rFonts w:hint="eastAsia" w:ascii="Times New Roman" w:hAnsi="Times New Roman" w:eastAsia="宋体" w:cs="Times New Roman"/>
                <w:kern w:val="0"/>
                <w:sz w:val="20"/>
                <w:szCs w:val="21"/>
              </w:rPr>
            </w:pPr>
            <w:bookmarkStart w:id="0" w:name="_GoBack"/>
            <w:bookmarkEnd w:id="0"/>
            <w:r>
              <w:rPr>
                <w:rFonts w:hint="eastAsia" w:ascii="Times New Roman" w:hAnsi="Times New Roman" w:eastAsia="宋体" w:cs="Times New Roman"/>
                <w:kern w:val="0"/>
                <w:sz w:val="20"/>
                <w:szCs w:val="21"/>
              </w:rPr>
              <w:t>温度：室内温度是影响热舒适的最直接因素。人体感觉最舒适的环境温度通常在20-26°C之间，具体取决于个人习惯、活动水平和服装。</w:t>
            </w:r>
          </w:p>
          <w:p w14:paraId="5A948592">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湿度：相对湿度是指空气中水蒸气的含量与同温度下饱和水蒸气含量的百分比。人体舒适的相对湿度一般在40%-70%之间。</w:t>
            </w:r>
          </w:p>
          <w:p w14:paraId="13C71EA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风速：室内风速会影响人体的散热感觉。舒适的风速通常较低，一般不超过0.5米/秒。</w:t>
            </w:r>
          </w:p>
          <w:p w14:paraId="092E813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辐射温度：周围物体表面的温度会影响人体的辐射散热。当辐射温度与空气温度接近时，人体感觉较为舒适。</w:t>
            </w:r>
          </w:p>
          <w:p w14:paraId="6DA2FFC9">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热舒适保持时间：</w:t>
            </w:r>
          </w:p>
          <w:p w14:paraId="4D35DE4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热舒适保持时间是指室内环境能够维持在热舒适状态的时间长度。以下因素会影响热舒适的保持时间：</w:t>
            </w:r>
          </w:p>
          <w:p w14:paraId="1AE85B09">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建筑围护结构：良好的保温隔热性能可以减少室内外温差对室内热环境的影响，延长热舒适保持时间。</w:t>
            </w:r>
          </w:p>
          <w:p w14:paraId="636008B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室内外气候：室外气候条件的变化会通过建筑围护结构影响室内热环境。在极端气候条件下，保持热舒适的时间会缩短。</w:t>
            </w:r>
          </w:p>
          <w:p w14:paraId="633E562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室内热源和湿源：室内的设备、人员和照明等都会产生热量和湿气，这些热源和湿源会影响室内热湿环境的稳定性。</w:t>
            </w:r>
          </w:p>
          <w:p w14:paraId="71C8CAA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通风和空调系统：有效的通风和空调系统能够调节室内温度和湿度，维持热舒适状态。系统的工作效率和运行策略直接影响热舒适的保持时间。</w:t>
            </w:r>
          </w:p>
          <w:p w14:paraId="37BC2C7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使用习惯：室内人员的活动习惯、开关门窗的频率等都会影响室内热湿环境，从而影响热舒适的保持时间。</w:t>
            </w:r>
          </w:p>
          <w:p w14:paraId="3BCCCC38">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一般来说，室内热舒适的保持时间取决于室内外环境条件、建筑性能和室内环境控制系统的综合作用。在设计和运营建筑时，通过优化建筑设计、选择合适的建筑材料和设备、合理控制室内环境，可以延长室内热舒适的保持时间，提高居住和工作环境的舒适度。</w:t>
            </w:r>
          </w:p>
        </w:tc>
      </w:tr>
    </w:tbl>
    <w:p w14:paraId="149C45E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4021FAB1">
      <w:pPr>
        <w:rPr>
          <w:rFonts w:ascii="Times New Roman" w:hAnsi="Times New Roman" w:eastAsia="宋体" w:cs="Times New Roman"/>
          <w:szCs w:val="21"/>
        </w:rPr>
      </w:pPr>
      <w:r>
        <w:rPr>
          <w:rFonts w:ascii="Times New Roman" w:hAnsi="Times New Roman" w:eastAsia="宋体" w:cs="Times New Roman"/>
          <w:szCs w:val="21"/>
        </w:rPr>
        <w:t>提交材料及要求：</w:t>
      </w:r>
    </w:p>
    <w:p w14:paraId="297A681D">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）暖通</w:t>
      </w:r>
      <w:r>
        <w:rPr>
          <w:rFonts w:ascii="Times New Roman" w:hAnsi="Times New Roman" w:eastAsia="宋体" w:cs="Times New Roman"/>
          <w:szCs w:val="21"/>
        </w:rPr>
        <w:t>竣工图</w:t>
      </w:r>
      <w:r>
        <w:rPr>
          <w:rFonts w:hint="eastAsia" w:ascii="Times New Roman" w:hAnsi="Times New Roman" w:eastAsia="宋体" w:cs="Times New Roman"/>
          <w:szCs w:val="21"/>
        </w:rPr>
        <w:t>及设计说明</w:t>
      </w:r>
      <w:r>
        <w:rPr>
          <w:rFonts w:ascii="Times New Roman" w:hAnsi="Times New Roman" w:eastAsia="宋体" w:cs="Times New Roman"/>
          <w:szCs w:val="21"/>
        </w:rPr>
        <w:t>、</w:t>
      </w:r>
      <w:r>
        <w:rPr>
          <w:rFonts w:hint="eastAsia" w:ascii="Times New Roman" w:hAnsi="Times New Roman" w:eastAsia="宋体" w:cs="Times New Roman"/>
          <w:szCs w:val="21"/>
        </w:rPr>
        <w:t>室内温度模拟分析报告和舒适温度预计达标比例分析报告；</w:t>
      </w:r>
    </w:p>
    <w:p w14:paraId="14234CF8">
      <w:pPr>
        <w:rPr>
          <w:rFonts w:ascii="Times New Roman" w:hAnsi="Times New Roman" w:eastAsia="宋体" w:cs="Times New Roman"/>
          <w:szCs w:val="21"/>
        </w:rPr>
      </w:pPr>
      <w:r>
        <w:rPr>
          <w:rFonts w:hint="eastAsia" w:ascii="Times New Roman" w:hAnsi="Times New Roman" w:eastAsia="宋体" w:cs="Times New Roman"/>
          <w:szCs w:val="21"/>
        </w:rPr>
        <w:t>2）预计达标比例计算报告或室内热湿环境实测值及PMV和PPD达标比例计算报告；</w:t>
      </w:r>
    </w:p>
    <w:p w14:paraId="45EA1C91">
      <w:pP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室内温度模拟分析报告；</w:t>
      </w:r>
    </w:p>
    <w:p w14:paraId="2D9F820C">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）舒适温度预计达标比例分析报告。</w:t>
      </w:r>
    </w:p>
    <w:p w14:paraId="0F158F1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4C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9356" w:type="dxa"/>
          </w:tcPr>
          <w:p w14:paraId="187AA3BB">
            <w:pPr>
              <w:rPr>
                <w:rFonts w:ascii="Times New Roman" w:hAnsi="Times New Roman" w:eastAsia="宋体" w:cs="Times New Roman"/>
                <w:kern w:val="0"/>
                <w:sz w:val="20"/>
                <w:szCs w:val="21"/>
              </w:rPr>
            </w:pPr>
          </w:p>
        </w:tc>
      </w:tr>
    </w:tbl>
    <w:p w14:paraId="68C0DD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69"/>
    <w:rsid w:val="00074A38"/>
    <w:rsid w:val="002D352E"/>
    <w:rsid w:val="006B4DEB"/>
    <w:rsid w:val="006C3B50"/>
    <w:rsid w:val="00916669"/>
    <w:rsid w:val="00E33D0B"/>
    <w:rsid w:val="0C015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6ECF8F39514051976851404AD8E9ED"/>
        <w:style w:val=""/>
        <w:category>
          <w:name w:val="常规"/>
          <w:gallery w:val="placeholder"/>
        </w:category>
        <w:types>
          <w:type w:val="bbPlcHdr"/>
        </w:types>
        <w:behaviors>
          <w:behavior w:val="content"/>
        </w:behaviors>
        <w:description w:val=""/>
        <w:guid w:val="{8426BEC5-8450-4A6B-A7DD-0721268C3AC6}"/>
      </w:docPartPr>
      <w:docPartBody>
        <w:p w14:paraId="0B6FF3D6">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21"/>
    <w:rsid w:val="006B0DD9"/>
    <w:rsid w:val="00751386"/>
    <w:rsid w:val="00901E7A"/>
    <w:rsid w:val="00AF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6ECF8F39514051976851404AD8E9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6FA6BF60D5E4C0C8F37E31379BC94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7BBD57EAF714CB19FE1F8380E710A0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314</Words>
  <Characters>345</Characters>
  <Lines>3</Lines>
  <Paragraphs>1</Paragraphs>
  <TotalTime>2</TotalTime>
  <ScaleCrop>false</ScaleCrop>
  <LinksUpToDate>false</LinksUpToDate>
  <CharactersWithSpaces>351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2019-07-12T07:54:00Z</dcterms:created>
  <dc:creator>dongYP</dc:creator>
  <cp:lastModifiedBy>亖一</cp:lastModifiedBy>
  <dcterms:modified xsi:type="dcterms:W3CDTF">2025-03-15T13:23:05Z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B54D12836E534C10913D46F0313191BF_13</vt:lpwstr>
  </property>
</Properties>
</file>