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EDB42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7.2.6 采取有效措施降低供暖空调系统的末端系统及输配系统的能耗。（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 w14:paraId="5411D8D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300"/>
      </w:tblGrid>
      <w:tr w14:paraId="3835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33" w:type="dxa"/>
            <w:vAlign w:val="center"/>
          </w:tcPr>
          <w:p w14:paraId="7A9624CB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2618309C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357C2ACB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658F707D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自评得分</w:t>
            </w:r>
          </w:p>
        </w:tc>
      </w:tr>
      <w:tr w14:paraId="5DD21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 w14:paraId="650E0969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48E218AF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535559B2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33CDD98F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1BED6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vMerge w:val="continue"/>
            <w:vAlign w:val="center"/>
          </w:tcPr>
          <w:p w14:paraId="1B0E2D42"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 w14:paraId="0D37040F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 w:val="continue"/>
            <w:vAlign w:val="center"/>
          </w:tcPr>
          <w:p w14:paraId="1FEEF627"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78B066FF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3FAE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 w14:paraId="1D40410A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6702C481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2D5659E2">
            <w:pPr>
              <w:pStyle w:val="14"/>
              <w:ind w:firstLine="0" w:firstLineChars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0B168C65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5032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33" w:type="dxa"/>
            <w:vMerge w:val="continue"/>
            <w:vAlign w:val="center"/>
          </w:tcPr>
          <w:p w14:paraId="6666D5DD"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 w14:paraId="44E4DCEA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非集中采暖空调系统项目</w:t>
            </w:r>
          </w:p>
        </w:tc>
        <w:tc>
          <w:tcPr>
            <w:tcW w:w="1559" w:type="dxa"/>
            <w:vMerge w:val="continue"/>
            <w:vAlign w:val="center"/>
          </w:tcPr>
          <w:p w14:paraId="3DF6E364"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71D05DCA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3EA1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127" w:type="dxa"/>
            <w:gridSpan w:val="2"/>
            <w:vAlign w:val="center"/>
          </w:tcPr>
          <w:p w14:paraId="0BFCEE29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 w14:paraId="4EB87F8B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05D57720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bookmarkStart w:id="15" w:name="_GoBack"/>
                <w:bookmarkEnd w:id="15"/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F4C1C9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9E37700"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Style w:val="6"/>
        <w:tblW w:w="8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835"/>
        <w:gridCol w:w="2871"/>
      </w:tblGrid>
      <w:tr w14:paraId="1685B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6E8C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DC061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392E1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单位风量耗功率</w:t>
            </w:r>
          </w:p>
        </w:tc>
      </w:tr>
      <w:tr w14:paraId="591DD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2EF37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2D4B6D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109BAC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14:paraId="7BB74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B22CE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408F4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63D9B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14:paraId="09D17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767B2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236D3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AA87F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14:paraId="29709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2E607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7CF1FE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09BEC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14:paraId="08289CBE"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14:paraId="05F6DC35">
      <w:pPr>
        <w:spacing w:line="288" w:lineRule="auto"/>
      </w:pPr>
      <w:r>
        <w:rPr>
          <w:rFonts w:hint="eastAsia"/>
        </w:rPr>
        <w:t>空调冷热水系统循环水泵的耗电输冷（热）比：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，标准规定值：_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14:paraId="7907570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192"/>
      <w:bookmarkStart w:id="1" w:name="_Toc9944768"/>
      <w:bookmarkStart w:id="2" w:name="_Toc9945334"/>
      <w:bookmarkStart w:id="3" w:name="_Toc9945475"/>
      <w:bookmarkStart w:id="4" w:name="_Toc9945048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8B0127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F5E39E0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）暖通专业竣工图及设计说明，</w:t>
      </w:r>
      <w:r>
        <w:rPr>
          <w:rFonts w:ascii="Times New Roman" w:hAnsi="Times New Roman" w:cs="Times New Roman" w:eastAsiaTheme="majorEastAsia"/>
        </w:rPr>
        <w:t>应包含设备表、风系统图及</w:t>
      </w:r>
      <w:r>
        <w:rPr>
          <w:rFonts w:hint="eastAsia" w:ascii="Times New Roman" w:hAnsi="Times New Roman" w:cs="Times New Roman" w:eastAsiaTheme="majorEastAsia"/>
        </w:rPr>
        <w:t>水</w:t>
      </w:r>
      <w:r>
        <w:rPr>
          <w:rFonts w:ascii="Times New Roman" w:hAnsi="Times New Roman" w:cs="Times New Roman" w:eastAsiaTheme="majorEastAsia"/>
        </w:rPr>
        <w:t>系统等设计文件</w:t>
      </w:r>
      <w:r>
        <w:rPr>
          <w:rFonts w:hint="eastAsia" w:ascii="Times New Roman" w:hAnsi="Times New Roman" w:cs="Times New Roman" w:eastAsiaTheme="majorEastAsia"/>
        </w:rPr>
        <w:t>；</w:t>
      </w:r>
      <w:bookmarkEnd w:id="0"/>
      <w:bookmarkEnd w:id="1"/>
      <w:bookmarkEnd w:id="2"/>
      <w:bookmarkEnd w:id="3"/>
      <w:bookmarkEnd w:id="4"/>
    </w:p>
    <w:p w14:paraId="331CB3E2">
      <w:pPr>
        <w:rPr>
          <w:rFonts w:ascii="Times New Roman" w:hAnsi="Times New Roman" w:cs="Times New Roman" w:eastAsiaTheme="majorEastAsia"/>
        </w:rPr>
      </w:pPr>
      <w:bookmarkStart w:id="5" w:name="_Toc9945049"/>
      <w:bookmarkStart w:id="6" w:name="_Toc9945335"/>
      <w:bookmarkStart w:id="7" w:name="_Toc9945476"/>
      <w:bookmarkStart w:id="8" w:name="_Toc9944769"/>
      <w:bookmarkStart w:id="9" w:name="_Toc9945193"/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 w14:paraId="6DC2B269">
      <w:pPr>
        <w:rPr>
          <w:rFonts w:ascii="Times New Roman" w:hAnsi="Times New Roman" w:cs="Times New Roman" w:eastAsiaTheme="majorEastAsia"/>
        </w:rPr>
      </w:pPr>
      <w:bookmarkStart w:id="10" w:name="_Toc9945194"/>
      <w:bookmarkStart w:id="11" w:name="_Toc9945477"/>
      <w:bookmarkStart w:id="12" w:name="_Toc9945336"/>
      <w:bookmarkStart w:id="13" w:name="_Toc9944770"/>
      <w:bookmarkStart w:id="14" w:name="_Toc9945050"/>
      <w:r>
        <w:rPr>
          <w:rFonts w:hint="eastAsia" w:ascii="Times New Roman" w:hAnsi="Times New Roman" w:cs="Times New Roman" w:eastAsiaTheme="majorEastAsia"/>
        </w:rPr>
        <w:t>3）风机的单位风量耗功率、空调冷热水系统的耗电输冷（热）比、集中供暖系统热水循环泵的耗电输热比计算书。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 w14:paraId="3850F97C"/>
    <w:p w14:paraId="2E00E53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190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5FF52FD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D418B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A4"/>
    <w:rsid w:val="00074A38"/>
    <w:rsid w:val="00214469"/>
    <w:rsid w:val="003F2D56"/>
    <w:rsid w:val="00504C6F"/>
    <w:rsid w:val="00D0778C"/>
    <w:rsid w:val="00D94DA4"/>
    <w:rsid w:val="60A6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56C56E31A224E9CAA0891AC68BCD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3094D1-FEF8-47D9-823B-62F919C91F4C}"/>
      </w:docPartPr>
      <w:docPartBody>
        <w:p w14:paraId="5BD42734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07578-3264-457B-88C9-05C444FFD8ED}"/>
      </w:docPartPr>
      <w:docPartBody>
        <w:p w14:paraId="1D29F876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82B74-D5B0-4ADE-9091-B194739F6BC7}"/>
      </w:docPartPr>
      <w:docPartBody>
        <w:p w14:paraId="470864DF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AD532E-11CA-4680-A3BF-80535879DC43}"/>
      </w:docPartPr>
      <w:docPartBody>
        <w:p w14:paraId="1518AC88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D10C97-8FBC-44CD-BBA0-F88CAC3C4D8C}"/>
      </w:docPartPr>
      <w:docPartBody>
        <w:p w14:paraId="71355F5C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1C6CA3-7305-473E-9655-2D7BAF6C8B54}"/>
      </w:docPartPr>
      <w:docPartBody>
        <w:p w14:paraId="1309FD51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433EB8-3304-4CE9-BE28-C034FB5466A3}"/>
      </w:docPartPr>
      <w:docPartBody>
        <w:p w14:paraId="5BD7F453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02BB65-5D05-42F1-AFD1-1BEA3FB1BF36}"/>
      </w:docPartPr>
      <w:docPartBody>
        <w:p w14:paraId="7367CCD4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D573F-E274-4BAE-A517-66EE966EDD39}"/>
      </w:docPartPr>
      <w:docPartBody>
        <w:p w14:paraId="7522DED6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56C56E31A224E9CAA0891AC68BCD5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46CA8C201094401BD2D9D34E8EBB8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11E1155BDD4842835044210E2024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0EE92FFF1348E6A77A4F9F775FAE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C999D0D9F84D8A8DC5AB8803A3C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4D414C552C47BA94373DC02FF83F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0DFC060662A499290A6EA50E216D5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599C54C6976491F8A1740574B907D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3A5493BD474531B2EB6C6339C9A4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DEBA6C29BA41CA88B637055BAEF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6B1A58B2D61436DA927FE80DE0473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51134FA3822466E825C3B26844D51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5F5CAABE908437A97C2243E8ED09C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6939AA22721401B8AE9A85CB6F123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87515BE689043D093924002C81CCA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10EB9F2FFC44696A16D14F052CE8B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866F137ADF4496490E18CF19DCD5F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207DFA01C1C4D66A59F6ADC339C7F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091F67CBE29481FAF7AC18B23C61F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4BC8747AF804EE28AEF41BAA09555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FE428EE06E408FBC76759AD93248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862D45AF8444E6DB5E5FE8261D8A6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436</Characters>
  <Lines>3</Lines>
  <Paragraphs>1</Paragraphs>
  <TotalTime>0</TotalTime>
  <ScaleCrop>false</ScaleCrop>
  <LinksUpToDate>false</LinksUpToDate>
  <CharactersWithSpaces>475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亖一</cp:lastModifiedBy>
  <dcterms:modified xsi:type="dcterms:W3CDTF">2025-03-16T01:36:49Z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4ECC15A03EE248D9AB3ABEC06DBB84FC_13</vt:lpwstr>
  </property>
</Properties>
</file>