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15A26"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8.2.8 场地内风环境有利于室外行走、活动舒适和建筑的自然通风。（10分）</w:t>
      </w:r>
    </w:p>
    <w:p w14:paraId="0E0CD124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8"/>
        <w:gridCol w:w="3544"/>
        <w:gridCol w:w="1701"/>
        <w:gridCol w:w="1628"/>
      </w:tblGrid>
      <w:tr w14:paraId="2E12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 w14:paraId="64101561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 w14:paraId="54F0D021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5C2620E1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763E4F9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08F4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 w14:paraId="36C2E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4C3AB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 w14:paraId="4391F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建筑物周围人行区距地高1.5m处风速小于5m/s，户外休息区、儿童娱乐区风速小于2m/s，且室外风速放大系数小于2</w:t>
            </w:r>
          </w:p>
        </w:tc>
        <w:tc>
          <w:tcPr>
            <w:tcW w:w="1701" w:type="dxa"/>
            <w:vAlign w:val="center"/>
          </w:tcPr>
          <w:p w14:paraId="270C01F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053717"/>
            <w:placeholder>
              <w:docPart w:val="CFBFB102A4BE42C38CE238F93401E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6F07ADEA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861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 w14:paraId="49F61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EA73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60BF6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除迎风第一排建筑外，建筑迎风面与背风面表面风压差不大于5Pa</w:t>
            </w:r>
          </w:p>
        </w:tc>
        <w:tc>
          <w:tcPr>
            <w:tcW w:w="1701" w:type="dxa"/>
            <w:vMerge w:val="restart"/>
            <w:vAlign w:val="center"/>
          </w:tcPr>
          <w:p w14:paraId="3154A83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1795461"/>
            <w:placeholder>
              <w:docPart w:val="36024517CAD0471A933CEFA2925FA9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 w14:paraId="7E19BB9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CA1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 w14:paraId="12442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5BBC1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0CCC4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 w:val="continue"/>
            <w:vAlign w:val="center"/>
          </w:tcPr>
          <w:p w14:paraId="753D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000141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F29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 w14:paraId="27FAE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1C944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 w14:paraId="6DE51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 w14:paraId="17341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915930212"/>
            <w:placeholder>
              <w:docPart w:val="C31D04347DAD412599FAABA33088F4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1315A3B6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C89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 w14:paraId="5B4BB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2F81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69875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50%以上可开启外窗室内外表面的风压差大于0.5Pa</w:t>
            </w:r>
          </w:p>
        </w:tc>
        <w:tc>
          <w:tcPr>
            <w:tcW w:w="1701" w:type="dxa"/>
            <w:vAlign w:val="center"/>
          </w:tcPr>
          <w:p w14:paraId="1E29E9C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0522356"/>
            <w:placeholder>
              <w:docPart w:val="131583EAC6394B3C9ADDC5EF472C4D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3DE13DF0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F1C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3"/>
            <w:vAlign w:val="center"/>
          </w:tcPr>
          <w:p w14:paraId="7F3957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681B0F1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932263249"/>
            <w:placeholder>
              <w:docPart w:val="39C92627D68F46D2BE9409CD2B018F7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1B146F59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C7AD803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1AFACE6"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hint="eastAsia" w:ascii="Times New Roman" w:cs="Times New Roman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 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hint="eastAsia" w:ascii="Times New Roman" w:hAnsi="Times New Roman" w:cs="Times New Roman"/>
          <w:lang w:val="zh-CN"/>
        </w:rPr>
        <w:t>，最大</w:t>
      </w:r>
      <w:r>
        <w:rPr>
          <w:rFonts w:hint="eastAsia" w:ascii="Times New Roman" w:cs="Times New Roman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cs="Times New Roman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hint="eastAsia" w:ascii="Times New Roman" w:hAnsi="Times New Roman" w:cs="Times New Roman"/>
          <w:lang w:val="zh-CN"/>
        </w:rPr>
        <w:t>；</w:t>
      </w:r>
    </w:p>
    <w:p w14:paraId="0FBAC979"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Content>
          <w:sdt>
            <w:sdtPr>
              <w:rPr>
                <w:color w:val="808080"/>
              </w:rPr>
              <w:id w:val="3600637"/>
            </w:sdtPr>
            <w:sdtEndPr>
              <w:rPr>
                <w:color w:val="808080"/>
              </w:rPr>
            </w:sdtEndPr>
            <w:sdtContent>
              <w:sdt>
                <w:sdtPr>
                  <w:id w:val="2170681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id w:val="-779186548"/>
        </w:sdtPr>
        <w:sdtContent>
          <w:sdt>
            <w:sdtPr>
              <w:rPr>
                <w:color w:val="808080"/>
              </w:rPr>
              <w:id w:val="35782388"/>
            </w:sdtPr>
            <w:sdtEndPr>
              <w:rPr>
                <w:color w:val="808080"/>
              </w:rPr>
            </w:sdtEndPr>
            <w:sdtContent>
              <w:sdt>
                <w:sdtPr>
                  <w:id w:val="871750"/>
                </w:sdtPr>
                <w:sdtContent>
                  <w:sdt>
                    <w:sdtPr>
                      <w:id w:val="-1088619157"/>
                    </w:sdt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否</w:t>
      </w:r>
    </w:p>
    <w:p w14:paraId="4375C9F4"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 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 w14:paraId="6D0EAFEA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请简要说明项目室外风环境情况以及改善风环境的措施。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B4E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356" w:type="dxa"/>
          </w:tcPr>
          <w:p w14:paraId="1D4D7EF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冬季工况时，建筑物周围人行区风速低于5m/s，且室外风速放大系数小于2，符合行人舒适性要求。人行区域风速放大系数小于2，满足要求。冬季主导风向条件下，前后压差小于5KPa，有利于冬季的防风节能效果。</w:t>
            </w:r>
          </w:p>
          <w:p w14:paraId="5B37CB3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夏季主导风向条件下，可开启外窗室内外表面的风差值基本大于0.5KPa，有利于室内利用自然通风。</w:t>
            </w:r>
          </w:p>
          <w:p w14:paraId="58A54C3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总体规划紧凑，规划布局结构清晰。项目方案学习传统岭南建筑的空间策略，采用现代建筑形式及模块化小体量建筑手法，将传统岭南建筑空间处理手法运用到现代建筑设计中，空间布局灵活，体量轻盈通透、疏密有致。</w:t>
            </w:r>
          </w:p>
        </w:tc>
      </w:tr>
    </w:tbl>
    <w:p w14:paraId="3681DA99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BDBDD5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F5F8B30">
      <w:pPr>
        <w:ind w:left="210" w:hanging="210" w:hangingChars="100"/>
        <w:rPr>
          <w:lang w:val="zh-CN"/>
        </w:rPr>
      </w:pPr>
      <w:r>
        <w:rPr>
          <w:rFonts w:hint="eastAsia"/>
        </w:rPr>
        <w:t>1）室外风环境模拟计算分析报告</w:t>
      </w:r>
      <w:r>
        <w:rPr>
          <w:rFonts w:hint="eastAsia"/>
          <w:lang w:val="zh-CN"/>
        </w:rPr>
        <w:t>；</w:t>
      </w:r>
    </w:p>
    <w:p w14:paraId="2C0A89BE">
      <w:pPr>
        <w:ind w:left="210" w:hanging="210" w:hangingChars="100"/>
      </w:pPr>
      <w:r>
        <w:t>2</w:t>
      </w:r>
      <w:r>
        <w:rPr>
          <w:rFonts w:hint="eastAsia"/>
        </w:rPr>
        <w:t>）竣工总平面图；</w:t>
      </w:r>
    </w:p>
    <w:p w14:paraId="73668B2B">
      <w:pPr>
        <w:ind w:left="210" w:hanging="210" w:hangingChars="100"/>
      </w:pPr>
      <w:r>
        <w:rPr>
          <w:rFonts w:hint="eastAsia"/>
        </w:rPr>
        <w:t>3）景观专业竣工图纸及设计说明；</w:t>
      </w:r>
    </w:p>
    <w:p w14:paraId="3D6AE13D">
      <w:pPr>
        <w:ind w:left="210" w:hanging="210" w:hangingChars="100"/>
      </w:pPr>
      <w:r>
        <w:rPr>
          <w:rFonts w:hint="eastAsia"/>
        </w:rPr>
        <w:t>4）场地周边及建筑物的实景影像资料。</w:t>
      </w:r>
    </w:p>
    <w:p w14:paraId="5A3054C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A2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0AB8147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4CA6D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90"/>
    <w:rsid w:val="00074A38"/>
    <w:rsid w:val="0014215A"/>
    <w:rsid w:val="005C78A4"/>
    <w:rsid w:val="00643CF4"/>
    <w:rsid w:val="007D1BA9"/>
    <w:rsid w:val="008F3790"/>
    <w:rsid w:val="00950EE2"/>
    <w:rsid w:val="00CD0053"/>
    <w:rsid w:val="00E12C71"/>
    <w:rsid w:val="00E568E2"/>
    <w:rsid w:val="0DCB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BFB102A4BE42C38CE238F93401E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19A0E5-0963-4491-A560-B5461704B9B8}"/>
      </w:docPartPr>
      <w:docPartBody>
        <w:p w14:paraId="6FAA97CF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024517CAD0471A933CEFA2925FA9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1F37F7-2EC8-4C3A-816B-D33AB0B2AFD1}"/>
      </w:docPartPr>
      <w:docPartBody>
        <w:p w14:paraId="6C398551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1D04347DAD412599FAABA33088F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27DDAF-4806-4ACE-BA89-166FCBE97BD3}"/>
      </w:docPartPr>
      <w:docPartBody>
        <w:p w14:paraId="4AF59D8A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1583EAC6394B3C9ADDC5EF472C4D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2FAE5B-F322-405A-89D8-EFD57A8DCE73}"/>
      </w:docPartPr>
      <w:docPartBody>
        <w:p w14:paraId="20AC99EB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C92627D68F46D2BE9409CD2B018F7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3AE244-1B4F-49CD-BBEF-BF47D79A39AA}"/>
      </w:docPartPr>
      <w:docPartBody>
        <w:p w14:paraId="6F701E7B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F0"/>
    <w:rsid w:val="00546584"/>
    <w:rsid w:val="008B44A2"/>
    <w:rsid w:val="0090459C"/>
    <w:rsid w:val="00D1279A"/>
    <w:rsid w:val="00E107F0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BFB102A4BE42C38CE238F93401E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6024517CAD0471A933CEFA2925FA9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31D04347DAD412599FAABA33088F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31583EAC6394B3C9ADDC5EF472C4D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9C92627D68F46D2BE9409CD2B018F7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E8FC50B098E4811A2130CCCAB7208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85DB3D1E880461D9BDFED4FAEEBA0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736</Characters>
  <Lines>6</Lines>
  <Paragraphs>1</Paragraphs>
  <TotalTime>2</TotalTime>
  <ScaleCrop>false</ScaleCrop>
  <LinksUpToDate>false</LinksUpToDate>
  <CharactersWithSpaces>775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亖一</cp:lastModifiedBy>
  <dcterms:modified xsi:type="dcterms:W3CDTF">2025-03-16T03:06:07Z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335BFFD9CBC344F3AE34171925B80BE3_13</vt:lpwstr>
  </property>
</Properties>
</file>