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漫耕——校园生态立体农场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参与单位名称：云南农业大学建筑工程学院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63.0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总得分：Q=（Q0+Q1+Q2+Q3+Q4+Q5+QA）/10=98.8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22513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5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22433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