
<file path=[Content_Types].xml><?xml version="1.0" encoding="utf-8"?>
<Types xmlns="http://schemas.openxmlformats.org/package/2006/content-types">
  <Default Extension="xml" ContentType="application/xml"/>
  <Default Extension="png" ContentType="image/png"/>
  <Default Extension="wmf" ContentType="image/x-wmf"/>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53F543">
      <w:pPr>
        <w:spacing w:line="180" w:lineRule="atLeast"/>
        <w:rPr>
          <w:rFonts w:ascii="宋体" w:hAnsi="宋体"/>
          <w:b/>
          <w:bCs/>
          <w:sz w:val="32"/>
          <w:szCs w:val="32"/>
        </w:rPr>
      </w:pPr>
      <w:bookmarkStart w:id="78" w:name="_GoBack"/>
      <w:bookmarkEnd w:id="78"/>
    </w:p>
    <w:p w14:paraId="66B962AB">
      <w:pPr>
        <w:widowControl w:val="0"/>
        <w:spacing w:after="312" w:afterLines="100" w:line="240" w:lineRule="auto"/>
        <w:rPr>
          <w:rFonts w:ascii="宋体" w:hAnsi="宋体"/>
          <w:b/>
          <w:bCs/>
          <w:kern w:val="2"/>
          <w:sz w:val="30"/>
          <w:szCs w:val="24"/>
          <w:lang w:val="en-US"/>
        </w:rPr>
      </w:pPr>
    </w:p>
    <w:p w14:paraId="5B5839C1">
      <w:pPr>
        <w:spacing w:before="312" w:beforeLines="100" w:line="180" w:lineRule="atLeast"/>
        <w:jc w:val="center"/>
        <w:rPr>
          <w:rFonts w:ascii="黑体" w:hAnsi="宋体" w:eastAsia="黑体"/>
          <w:b/>
          <w:bCs/>
          <w:sz w:val="72"/>
          <w:szCs w:val="72"/>
        </w:rPr>
      </w:pPr>
      <w:r>
        <w:rPr>
          <w:rFonts w:hint="eastAsia" w:ascii="黑体" w:hAnsi="宋体" w:eastAsia="黑体"/>
          <w:b/>
          <w:bCs/>
          <w:sz w:val="72"/>
          <w:szCs w:val="72"/>
        </w:rPr>
        <w:t>室内气流组织分析报告</w:t>
      </w:r>
    </w:p>
    <w:p w14:paraId="79384644">
      <w:pPr>
        <w:spacing w:line="180" w:lineRule="atLeast"/>
        <w:rPr>
          <w:rFonts w:ascii="宋体" w:hAnsi="宋体"/>
          <w:b/>
          <w:bCs/>
          <w:sz w:val="36"/>
          <w:szCs w:val="36"/>
          <w:lang w:val="en-US"/>
        </w:rPr>
      </w:pPr>
      <w:bookmarkStart w:id="0" w:name="建筑类别"/>
      <w:bookmarkEnd w:id="0"/>
    </w:p>
    <w:tbl>
      <w:tblPr>
        <w:tblStyle w:val="2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3780"/>
      </w:tblGrid>
      <w:tr w14:paraId="6002BA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12" w:space="0"/>
              <w:bottom w:val="single" w:color="auto" w:sz="6" w:space="0"/>
            </w:tcBorders>
            <w:shd w:val="clear" w:color="auto" w:fill="E6E6E6"/>
          </w:tcPr>
          <w:p w14:paraId="67618007">
            <w:pPr>
              <w:pStyle w:val="19"/>
              <w:pBdr>
                <w:bottom w:val="none" w:color="auto" w:sz="0" w:space="0"/>
              </w:pBdr>
              <w:tabs>
                <w:tab w:val="clear" w:pos="4153"/>
                <w:tab w:val="clear" w:pos="8306"/>
              </w:tabs>
              <w:snapToGrid/>
              <w:jc w:val="both"/>
              <w:rPr>
                <w:rFonts w:ascii="宋体" w:hAnsi="宋体"/>
                <w:szCs w:val="21"/>
              </w:rPr>
            </w:pPr>
            <w:r>
              <w:rPr>
                <w:rFonts w:hint="eastAsia" w:ascii="宋体" w:hAnsi="宋体"/>
                <w:szCs w:val="21"/>
              </w:rPr>
              <w:t>项目名称</w:t>
            </w:r>
          </w:p>
        </w:tc>
        <w:tc>
          <w:tcPr>
            <w:tcW w:w="3780" w:type="dxa"/>
          </w:tcPr>
          <w:p w14:paraId="6F8871A2">
            <w:pPr>
              <w:pStyle w:val="18"/>
              <w:tabs>
                <w:tab w:val="clear" w:pos="4153"/>
                <w:tab w:val="clear" w:pos="8306"/>
              </w:tabs>
              <w:snapToGrid/>
              <w:jc w:val="both"/>
              <w:rPr>
                <w:rFonts w:ascii="宋体" w:hAnsi="宋体"/>
                <w:szCs w:val="21"/>
              </w:rPr>
            </w:pPr>
            <w:bookmarkStart w:id="1" w:name="项目名称"/>
            <w:r>
              <w:t>新建项目</w:t>
            </w:r>
            <w:bookmarkEnd w:id="1"/>
          </w:p>
        </w:tc>
      </w:tr>
      <w:tr w14:paraId="62D79D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0C8AAB87">
            <w:pPr>
              <w:jc w:val="both"/>
              <w:rPr>
                <w:rFonts w:ascii="宋体" w:hAnsi="宋体"/>
                <w:szCs w:val="21"/>
              </w:rPr>
            </w:pPr>
            <w:r>
              <w:rPr>
                <w:rFonts w:hint="eastAsia" w:ascii="宋体" w:hAnsi="宋体"/>
                <w:szCs w:val="21"/>
              </w:rPr>
              <w:t>工程地点</w:t>
            </w:r>
          </w:p>
        </w:tc>
        <w:tc>
          <w:tcPr>
            <w:tcW w:w="3780" w:type="dxa"/>
          </w:tcPr>
          <w:p w14:paraId="0727213B">
            <w:pPr>
              <w:jc w:val="both"/>
              <w:rPr>
                <w:rFonts w:ascii="宋体" w:hAnsi="宋体"/>
                <w:szCs w:val="21"/>
              </w:rPr>
            </w:pPr>
            <w:bookmarkStart w:id="2" w:name="项目地点"/>
            <w:r>
              <w:t>邵阳</w:t>
            </w:r>
            <w:bookmarkEnd w:id="2"/>
          </w:p>
        </w:tc>
      </w:tr>
      <w:tr w14:paraId="2902DC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0474D149">
            <w:pPr>
              <w:jc w:val="both"/>
              <w:rPr>
                <w:rFonts w:ascii="宋体" w:hAnsi="宋体"/>
                <w:szCs w:val="21"/>
              </w:rPr>
            </w:pPr>
            <w:r>
              <w:rPr>
                <w:rFonts w:hint="eastAsia" w:ascii="宋体" w:hAnsi="宋体"/>
                <w:szCs w:val="21"/>
              </w:rPr>
              <w:t>设计编号</w:t>
            </w:r>
          </w:p>
        </w:tc>
        <w:tc>
          <w:tcPr>
            <w:tcW w:w="3780" w:type="dxa"/>
          </w:tcPr>
          <w:p w14:paraId="51D80CBE">
            <w:pPr>
              <w:jc w:val="both"/>
              <w:rPr>
                <w:rFonts w:ascii="宋体" w:hAnsi="宋体"/>
                <w:szCs w:val="21"/>
              </w:rPr>
            </w:pPr>
            <w:bookmarkStart w:id="3" w:name="设计编号"/>
            <w:bookmarkEnd w:id="3"/>
          </w:p>
        </w:tc>
      </w:tr>
      <w:tr w14:paraId="4587AC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2BA2F72F">
            <w:pPr>
              <w:jc w:val="both"/>
              <w:rPr>
                <w:rFonts w:ascii="宋体" w:hAnsi="宋体"/>
                <w:szCs w:val="21"/>
              </w:rPr>
            </w:pPr>
            <w:r>
              <w:rPr>
                <w:rFonts w:hint="eastAsia" w:ascii="宋体" w:hAnsi="宋体"/>
                <w:szCs w:val="21"/>
              </w:rPr>
              <w:t>建设单位</w:t>
            </w:r>
          </w:p>
        </w:tc>
        <w:tc>
          <w:tcPr>
            <w:tcW w:w="3780" w:type="dxa"/>
          </w:tcPr>
          <w:p w14:paraId="3688D6D3">
            <w:pPr>
              <w:rPr>
                <w:rFonts w:ascii="宋体" w:hAnsi="宋体"/>
                <w:szCs w:val="21"/>
              </w:rPr>
            </w:pPr>
            <w:bookmarkStart w:id="4" w:name="建设单位"/>
            <w:bookmarkEnd w:id="4"/>
          </w:p>
        </w:tc>
      </w:tr>
      <w:tr w14:paraId="5E2AD5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6A2B4B4D">
            <w:pPr>
              <w:jc w:val="both"/>
              <w:rPr>
                <w:rFonts w:ascii="宋体" w:hAnsi="宋体"/>
                <w:szCs w:val="21"/>
              </w:rPr>
            </w:pPr>
            <w:r>
              <w:rPr>
                <w:rFonts w:hint="eastAsia" w:ascii="宋体" w:hAnsi="宋体"/>
                <w:szCs w:val="21"/>
              </w:rPr>
              <w:t>设计单位</w:t>
            </w:r>
          </w:p>
        </w:tc>
        <w:tc>
          <w:tcPr>
            <w:tcW w:w="3780" w:type="dxa"/>
          </w:tcPr>
          <w:p w14:paraId="7DEAFBE1">
            <w:pPr>
              <w:rPr>
                <w:rFonts w:ascii="宋体" w:hAnsi="宋体"/>
                <w:szCs w:val="21"/>
              </w:rPr>
            </w:pPr>
            <w:bookmarkStart w:id="5" w:name="设计单位"/>
            <w:bookmarkEnd w:id="5"/>
          </w:p>
        </w:tc>
      </w:tr>
      <w:tr w14:paraId="2CADEE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22ABF3AB">
            <w:pPr>
              <w:jc w:val="both"/>
              <w:rPr>
                <w:rFonts w:ascii="宋体" w:hAnsi="宋体"/>
                <w:szCs w:val="21"/>
              </w:rPr>
            </w:pPr>
            <w:r>
              <w:rPr>
                <w:rFonts w:hint="eastAsia" w:ascii="宋体" w:hAnsi="宋体"/>
                <w:szCs w:val="21"/>
              </w:rPr>
              <w:t>设 计 人</w:t>
            </w:r>
          </w:p>
        </w:tc>
        <w:tc>
          <w:tcPr>
            <w:tcW w:w="3780" w:type="dxa"/>
          </w:tcPr>
          <w:p w14:paraId="0336E8C4">
            <w:pPr>
              <w:rPr>
                <w:rFonts w:ascii="宋体" w:hAnsi="宋体"/>
                <w:szCs w:val="21"/>
              </w:rPr>
            </w:pPr>
          </w:p>
        </w:tc>
      </w:tr>
      <w:tr w14:paraId="56EC5F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49A13B29">
            <w:pPr>
              <w:jc w:val="both"/>
              <w:rPr>
                <w:rFonts w:ascii="宋体" w:hAnsi="宋体"/>
                <w:szCs w:val="21"/>
              </w:rPr>
            </w:pPr>
            <w:r>
              <w:rPr>
                <w:rFonts w:hint="eastAsia" w:ascii="宋体" w:hAnsi="宋体"/>
                <w:szCs w:val="21"/>
              </w:rPr>
              <w:t>校 对 人</w:t>
            </w:r>
          </w:p>
        </w:tc>
        <w:tc>
          <w:tcPr>
            <w:tcW w:w="3780" w:type="dxa"/>
          </w:tcPr>
          <w:p w14:paraId="77F23004">
            <w:pPr>
              <w:rPr>
                <w:rFonts w:ascii="宋体" w:hAnsi="宋体"/>
                <w:szCs w:val="21"/>
              </w:rPr>
            </w:pPr>
          </w:p>
        </w:tc>
      </w:tr>
      <w:tr w14:paraId="470B91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1C180233">
            <w:pPr>
              <w:jc w:val="both"/>
              <w:rPr>
                <w:rFonts w:ascii="宋体" w:hAnsi="宋体"/>
                <w:szCs w:val="21"/>
              </w:rPr>
            </w:pPr>
            <w:r>
              <w:rPr>
                <w:rFonts w:hint="eastAsia" w:ascii="宋体" w:hAnsi="宋体"/>
                <w:szCs w:val="21"/>
              </w:rPr>
              <w:t>审 核 人</w:t>
            </w:r>
          </w:p>
        </w:tc>
        <w:tc>
          <w:tcPr>
            <w:tcW w:w="3780" w:type="dxa"/>
          </w:tcPr>
          <w:p w14:paraId="4E15CEE0">
            <w:pPr>
              <w:rPr>
                <w:rFonts w:ascii="宋体" w:hAnsi="宋体"/>
                <w:szCs w:val="21"/>
              </w:rPr>
            </w:pPr>
          </w:p>
        </w:tc>
      </w:tr>
      <w:tr w14:paraId="643A3D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53710FC4">
            <w:pPr>
              <w:jc w:val="both"/>
              <w:rPr>
                <w:rFonts w:ascii="宋体" w:hAnsi="宋体"/>
                <w:szCs w:val="21"/>
              </w:rPr>
            </w:pPr>
            <w:r>
              <w:rPr>
                <w:rFonts w:hint="eastAsia" w:ascii="宋体" w:hAnsi="宋体"/>
                <w:szCs w:val="21"/>
              </w:rPr>
              <w:t>审 定 人</w:t>
            </w:r>
          </w:p>
        </w:tc>
        <w:tc>
          <w:tcPr>
            <w:tcW w:w="3780" w:type="dxa"/>
          </w:tcPr>
          <w:p w14:paraId="2DDB4AC1">
            <w:pPr>
              <w:rPr>
                <w:rFonts w:ascii="宋体" w:hAnsi="宋体"/>
                <w:szCs w:val="21"/>
              </w:rPr>
            </w:pPr>
          </w:p>
        </w:tc>
      </w:tr>
      <w:tr w14:paraId="23950A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12" w:space="0"/>
            </w:tcBorders>
            <w:shd w:val="clear" w:color="auto" w:fill="E6E6E6"/>
          </w:tcPr>
          <w:p w14:paraId="705D8875">
            <w:pPr>
              <w:jc w:val="both"/>
              <w:rPr>
                <w:rFonts w:ascii="宋体" w:hAnsi="宋体"/>
                <w:szCs w:val="21"/>
              </w:rPr>
            </w:pPr>
            <w:r>
              <w:rPr>
                <w:rFonts w:hint="eastAsia" w:ascii="宋体" w:hAnsi="宋体"/>
                <w:szCs w:val="21"/>
              </w:rPr>
              <w:t>设计日期</w:t>
            </w:r>
          </w:p>
        </w:tc>
        <w:tc>
          <w:tcPr>
            <w:tcW w:w="3780" w:type="dxa"/>
          </w:tcPr>
          <w:p w14:paraId="49ACA563">
            <w:pPr>
              <w:rPr>
                <w:rFonts w:ascii="宋体" w:hAnsi="宋体"/>
                <w:szCs w:val="21"/>
              </w:rPr>
            </w:pPr>
            <w:bookmarkStart w:id="6" w:name="报告日期"/>
            <w:r>
              <w:rPr>
                <w:rFonts w:hint="eastAsia" w:ascii="宋体" w:hAnsi="宋体"/>
                <w:szCs w:val="21"/>
              </w:rPr>
              <w:t>2024年12月29日</w:t>
            </w:r>
            <w:bookmarkEnd w:id="6"/>
          </w:p>
        </w:tc>
      </w:tr>
    </w:tbl>
    <w:p w14:paraId="30346186">
      <w:pPr>
        <w:spacing w:line="240" w:lineRule="auto"/>
        <w:rPr>
          <w:rFonts w:ascii="宋体" w:hAnsi="宋体"/>
          <w:lang w:val="en-US"/>
        </w:rPr>
      </w:pPr>
    </w:p>
    <w:p w14:paraId="12BD36D9">
      <w:pPr>
        <w:spacing w:line="240" w:lineRule="auto"/>
        <w:rPr>
          <w:rFonts w:ascii="宋体" w:hAnsi="宋体"/>
          <w:lang w:val="en-US"/>
        </w:rPr>
      </w:pPr>
    </w:p>
    <w:p w14:paraId="5611591B">
      <w:pPr>
        <w:spacing w:line="240" w:lineRule="auto"/>
        <w:jc w:val="center"/>
        <w:rPr>
          <w:rFonts w:ascii="宋体" w:hAnsi="宋体"/>
          <w:lang w:val="en-US"/>
        </w:rPr>
      </w:pPr>
      <w:bookmarkStart w:id="7" w:name="二维码"/>
      <w:bookmarkEnd w:id="7"/>
      <w:r>
        <w:drawing>
          <wp:inline distT="0" distB="0" distL="0" distR="0">
            <wp:extent cx="1628775" cy="162877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4"/>
                    <pic:cNvPicPr>
                      <a:picLocks noChangeAspect="1"/>
                    </pic:cNvPicPr>
                  </pic:nvPicPr>
                  <pic:blipFill>
                    <a:blip r:embed="rId9"/>
                    <a:stretch>
                      <a:fillRect/>
                    </a:stretch>
                  </pic:blipFill>
                  <pic:spPr>
                    <a:xfrm>
                      <a:off x="0" y="0"/>
                      <a:ext cx="1628946" cy="1628946"/>
                    </a:xfrm>
                    <a:prstGeom prst="rect">
                      <a:avLst/>
                    </a:prstGeom>
                  </pic:spPr>
                </pic:pic>
              </a:graphicData>
            </a:graphic>
          </wp:inline>
        </w:drawing>
      </w:r>
    </w:p>
    <w:p w14:paraId="60C4C74B">
      <w:pPr>
        <w:spacing w:line="240" w:lineRule="auto"/>
        <w:rPr>
          <w:rFonts w:ascii="宋体" w:hAnsi="宋体"/>
          <w:lang w:val="en-US"/>
        </w:rPr>
      </w:pPr>
    </w:p>
    <w:p w14:paraId="1D7D915F">
      <w:pPr>
        <w:spacing w:line="240" w:lineRule="auto"/>
        <w:jc w:val="center"/>
        <w:rPr>
          <w:rFonts w:ascii="宋体" w:hAnsi="宋体"/>
          <w:b/>
          <w:bCs/>
          <w:sz w:val="30"/>
          <w:szCs w:val="32"/>
        </w:rPr>
      </w:pPr>
    </w:p>
    <w:tbl>
      <w:tblPr>
        <w:tblStyle w:val="22"/>
        <w:tblpPr w:leftFromText="180" w:rightFromText="180" w:vertAnchor="text" w:tblpXSpec="center" w:tblpY="1"/>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4139"/>
      </w:tblGrid>
      <w:tr w14:paraId="4C142C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1800" w:type="dxa"/>
            <w:shd w:val="clear" w:color="auto" w:fill="E6E6E6"/>
            <w:vAlign w:val="center"/>
          </w:tcPr>
          <w:p w14:paraId="37AA8F2F">
            <w:pPr>
              <w:spacing w:line="240" w:lineRule="atLeast"/>
              <w:jc w:val="both"/>
              <w:rPr>
                <w:rFonts w:ascii="宋体" w:hAnsi="宋体"/>
                <w:szCs w:val="21"/>
              </w:rPr>
            </w:pPr>
            <w:r>
              <w:rPr>
                <w:rFonts w:hint="eastAsia" w:ascii="宋体" w:hAnsi="宋体"/>
                <w:szCs w:val="21"/>
              </w:rPr>
              <w:t>采用软件</w:t>
            </w:r>
          </w:p>
        </w:tc>
        <w:tc>
          <w:tcPr>
            <w:tcW w:w="4139" w:type="dxa"/>
            <w:shd w:val="clear" w:color="auto" w:fill="auto"/>
            <w:vAlign w:val="center"/>
          </w:tcPr>
          <w:p w14:paraId="7BC92913">
            <w:pPr>
              <w:spacing w:line="240" w:lineRule="atLeast"/>
              <w:jc w:val="both"/>
              <w:rPr>
                <w:rFonts w:ascii="宋体" w:hAnsi="宋体"/>
                <w:szCs w:val="21"/>
              </w:rPr>
            </w:pPr>
            <w:bookmarkStart w:id="8" w:name="采用软件"/>
            <w:r>
              <w:rPr>
                <w:rFonts w:hint="eastAsia" w:ascii="宋体" w:hAnsi="宋体"/>
              </w:rPr>
              <w:t>建筑通风Vent2024</w:t>
            </w:r>
            <w:bookmarkEnd w:id="8"/>
          </w:p>
        </w:tc>
      </w:tr>
      <w:tr w14:paraId="4D73C5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1800" w:type="dxa"/>
            <w:tcBorders>
              <w:bottom w:val="single" w:color="auto" w:sz="4" w:space="0"/>
            </w:tcBorders>
            <w:shd w:val="clear" w:color="auto" w:fill="E6E6E6"/>
            <w:vAlign w:val="center"/>
          </w:tcPr>
          <w:p w14:paraId="60CE99E2">
            <w:pPr>
              <w:spacing w:line="240" w:lineRule="atLeast"/>
              <w:jc w:val="both"/>
              <w:rPr>
                <w:rFonts w:ascii="宋体" w:hAnsi="宋体"/>
                <w:szCs w:val="21"/>
              </w:rPr>
            </w:pPr>
            <w:r>
              <w:rPr>
                <w:rFonts w:hint="eastAsia" w:ascii="宋体" w:hAnsi="宋体"/>
                <w:szCs w:val="21"/>
              </w:rPr>
              <w:t>软件版本</w:t>
            </w:r>
          </w:p>
        </w:tc>
        <w:tc>
          <w:tcPr>
            <w:tcW w:w="4139" w:type="dxa"/>
            <w:tcBorders>
              <w:bottom w:val="single" w:color="auto" w:sz="4" w:space="0"/>
            </w:tcBorders>
            <w:vAlign w:val="center"/>
          </w:tcPr>
          <w:p w14:paraId="0A5929A8">
            <w:pPr>
              <w:spacing w:line="240" w:lineRule="atLeast"/>
              <w:jc w:val="both"/>
              <w:rPr>
                <w:rFonts w:ascii="宋体" w:hAnsi="宋体"/>
                <w:szCs w:val="21"/>
              </w:rPr>
            </w:pPr>
            <w:bookmarkStart w:id="9" w:name="软件版本"/>
            <w:r>
              <w:rPr>
                <w:rFonts w:ascii="宋体" w:hAnsi="宋体"/>
                <w:szCs w:val="21"/>
              </w:rPr>
              <w:t>20240430(SP1)</w:t>
            </w:r>
            <w:bookmarkEnd w:id="9"/>
          </w:p>
        </w:tc>
      </w:tr>
      <w:tr w14:paraId="043CE3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1800" w:type="dxa"/>
            <w:tcBorders>
              <w:top w:val="single" w:color="auto" w:sz="4" w:space="0"/>
              <w:bottom w:val="single" w:color="auto" w:sz="4" w:space="0"/>
              <w:right w:val="single" w:color="auto" w:sz="4" w:space="0"/>
            </w:tcBorders>
            <w:shd w:val="clear" w:color="auto" w:fill="E6E6E6"/>
            <w:vAlign w:val="center"/>
          </w:tcPr>
          <w:p w14:paraId="1C9F26D9">
            <w:pPr>
              <w:spacing w:line="240" w:lineRule="atLeast"/>
              <w:jc w:val="both"/>
              <w:rPr>
                <w:rFonts w:ascii="宋体" w:hAnsi="宋体"/>
                <w:szCs w:val="21"/>
              </w:rPr>
            </w:pPr>
            <w:r>
              <w:rPr>
                <w:rFonts w:hint="eastAsia" w:ascii="宋体" w:hAnsi="宋体"/>
                <w:szCs w:val="21"/>
              </w:rPr>
              <w:t>研发单位</w:t>
            </w:r>
          </w:p>
        </w:tc>
        <w:tc>
          <w:tcPr>
            <w:tcW w:w="4139" w:type="dxa"/>
            <w:tcBorders>
              <w:top w:val="single" w:color="auto" w:sz="4" w:space="0"/>
              <w:left w:val="single" w:color="auto" w:sz="4" w:space="0"/>
              <w:bottom w:val="single" w:color="auto" w:sz="4" w:space="0"/>
            </w:tcBorders>
            <w:shd w:val="clear" w:color="auto" w:fill="FFFFFF"/>
            <w:vAlign w:val="center"/>
          </w:tcPr>
          <w:p w14:paraId="5804B0FE">
            <w:pPr>
              <w:spacing w:line="240" w:lineRule="atLeast"/>
              <w:jc w:val="both"/>
              <w:rPr>
                <w:rFonts w:ascii="宋体" w:hAnsi="宋体"/>
                <w:szCs w:val="21"/>
              </w:rPr>
            </w:pPr>
            <w:r>
              <w:rPr>
                <w:rFonts w:ascii="宋体" w:hAnsi="宋体"/>
                <w:szCs w:val="21"/>
              </w:rPr>
              <w:t>北京绿建软件</w:t>
            </w:r>
            <w:r>
              <w:rPr>
                <w:rFonts w:hint="eastAsia" w:ascii="宋体" w:hAnsi="宋体"/>
                <w:szCs w:val="21"/>
              </w:rPr>
              <w:t>股份</w:t>
            </w:r>
            <w:r>
              <w:rPr>
                <w:rFonts w:ascii="宋体" w:hAnsi="宋体"/>
                <w:szCs w:val="21"/>
              </w:rPr>
              <w:t>有限公司</w:t>
            </w:r>
          </w:p>
        </w:tc>
      </w:tr>
      <w:tr w14:paraId="10BF36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1800" w:type="dxa"/>
            <w:tcBorders>
              <w:top w:val="single" w:color="auto" w:sz="4" w:space="0"/>
              <w:bottom w:val="single" w:color="auto" w:sz="12" w:space="0"/>
              <w:right w:val="single" w:color="auto" w:sz="4" w:space="0"/>
            </w:tcBorders>
            <w:shd w:val="clear" w:color="auto" w:fill="E6E6E6"/>
            <w:vAlign w:val="center"/>
          </w:tcPr>
          <w:p w14:paraId="02912D0B">
            <w:pPr>
              <w:spacing w:line="240" w:lineRule="atLeast"/>
              <w:jc w:val="both"/>
              <w:rPr>
                <w:rFonts w:ascii="宋体" w:hAnsi="宋体"/>
                <w:szCs w:val="21"/>
              </w:rPr>
            </w:pPr>
            <w:r>
              <w:rPr>
                <w:rFonts w:hint="eastAsia" w:ascii="宋体" w:hAnsi="宋体"/>
                <w:szCs w:val="21"/>
              </w:rPr>
              <w:t>正版授权码</w:t>
            </w:r>
          </w:p>
        </w:tc>
        <w:tc>
          <w:tcPr>
            <w:tcW w:w="4139" w:type="dxa"/>
            <w:tcBorders>
              <w:top w:val="single" w:color="auto" w:sz="4" w:space="0"/>
              <w:left w:val="single" w:color="auto" w:sz="4" w:space="0"/>
              <w:bottom w:val="single" w:color="auto" w:sz="12" w:space="0"/>
            </w:tcBorders>
            <w:shd w:val="clear" w:color="auto" w:fill="FFFFFF"/>
            <w:vAlign w:val="center"/>
          </w:tcPr>
          <w:p w14:paraId="4D138895">
            <w:pPr>
              <w:widowControl w:val="0"/>
              <w:spacing w:line="240" w:lineRule="auto"/>
              <w:jc w:val="both"/>
              <w:rPr>
                <w:rFonts w:ascii="宋体" w:hAnsi="宋体" w:eastAsia="等线"/>
                <w:kern w:val="2"/>
                <w:szCs w:val="21"/>
                <w:lang w:val="en-US"/>
              </w:rPr>
            </w:pPr>
            <w:bookmarkStart w:id="10" w:name="加密锁号"/>
            <w:r>
              <w:t>T19189668144</w:t>
            </w:r>
            <w:bookmarkEnd w:id="10"/>
          </w:p>
        </w:tc>
      </w:tr>
    </w:tbl>
    <w:p w14:paraId="71DB376A">
      <w:pPr>
        <w:spacing w:line="240" w:lineRule="auto"/>
        <w:jc w:val="center"/>
        <w:rPr>
          <w:rFonts w:ascii="宋体" w:hAnsi="宋体"/>
          <w:b/>
          <w:bCs/>
          <w:sz w:val="32"/>
          <w:szCs w:val="32"/>
        </w:rPr>
      </w:pPr>
      <w:r>
        <w:rPr>
          <w:rFonts w:ascii="宋体" w:hAnsi="宋体"/>
          <w:b/>
          <w:bCs/>
          <w:sz w:val="32"/>
          <w:szCs w:val="32"/>
        </w:rPr>
        <w:br w:type="page"/>
      </w:r>
      <w:r>
        <w:rPr>
          <w:rFonts w:hint="eastAsia" w:ascii="宋体" w:hAnsi="宋体"/>
          <w:b/>
          <w:bCs/>
          <w:sz w:val="24"/>
          <w:szCs w:val="32"/>
        </w:rPr>
        <w:t>目  录</w:t>
      </w:r>
    </w:p>
    <w:p w14:paraId="1E35E961">
      <w:pPr>
        <w:pStyle w:val="20"/>
        <w:tabs>
          <w:tab w:val="right" w:leader="dot" w:pos="8930"/>
          <w:tab w:val="clear" w:pos="180"/>
          <w:tab w:val="clear" w:pos="420"/>
          <w:tab w:val="clear" w:pos="9360"/>
        </w:tabs>
      </w:pPr>
      <w:bookmarkStart w:id="11" w:name="目录"/>
      <w:r>
        <w:rPr>
          <w:rFonts w:ascii="宋体" w:hAnsi="宋体"/>
          <w:b w:val="0"/>
          <w:bCs w:val="0"/>
          <w:caps/>
        </w:rPr>
        <w:fldChar w:fldCharType="begin"/>
      </w:r>
      <w:r>
        <w:rPr>
          <w:rFonts w:ascii="宋体" w:hAnsi="宋体"/>
          <w:b w:val="0"/>
          <w:bCs w:val="0"/>
          <w:caps/>
        </w:rPr>
        <w:instrText xml:space="preserve"> TOC \o "2-3" \f \h \z \t "标题 1,1" </w:instrText>
      </w:r>
      <w:r>
        <w:rPr>
          <w:rFonts w:ascii="宋体" w:hAnsi="宋体"/>
          <w:b w:val="0"/>
          <w:bCs w:val="0"/>
          <w:caps/>
        </w:rPr>
        <w:fldChar w:fldCharType="separate"/>
      </w:r>
      <w:r>
        <w:rPr>
          <w:rFonts w:ascii="宋体" w:hAnsi="宋体"/>
          <w:bCs w:val="0"/>
          <w:caps/>
        </w:rPr>
        <w:fldChar w:fldCharType="begin"/>
      </w:r>
      <w:r>
        <w:rPr>
          <w:rFonts w:ascii="宋体" w:hAnsi="宋体"/>
          <w:bCs w:val="0"/>
          <w:caps/>
        </w:rPr>
        <w:instrText xml:space="preserve"> HYPERLINK \l _Toc26061 </w:instrText>
      </w:r>
      <w:r>
        <w:rPr>
          <w:rFonts w:ascii="宋体" w:hAnsi="宋体"/>
          <w:bCs w:val="0"/>
          <w:caps/>
        </w:rPr>
        <w:fldChar w:fldCharType="separate"/>
      </w:r>
      <w:r>
        <w:rPr>
          <w:rFonts w:hint="eastAsia"/>
        </w:rPr>
        <w:t>1 项目概况</w:t>
      </w:r>
      <w:r>
        <w:tab/>
      </w:r>
      <w:r>
        <w:fldChar w:fldCharType="begin"/>
      </w:r>
      <w:r>
        <w:instrText xml:space="preserve"> PAGEREF _Toc26061 \h </w:instrText>
      </w:r>
      <w:r>
        <w:fldChar w:fldCharType="separate"/>
      </w:r>
      <w:r>
        <w:t>3</w:t>
      </w:r>
      <w:r>
        <w:fldChar w:fldCharType="end"/>
      </w:r>
      <w:r>
        <w:rPr>
          <w:rFonts w:ascii="宋体" w:hAnsi="宋体"/>
          <w:bCs w:val="0"/>
          <w:caps/>
        </w:rPr>
        <w:fldChar w:fldCharType="end"/>
      </w:r>
    </w:p>
    <w:p w14:paraId="05AB5360">
      <w:pPr>
        <w:pStyle w:val="21"/>
        <w:tabs>
          <w:tab w:val="right" w:leader="dot" w:pos="8930"/>
          <w:tab w:val="clear" w:pos="540"/>
          <w:tab w:val="clear" w:pos="840"/>
          <w:tab w:val="clear" w:pos="9360"/>
        </w:tabs>
      </w:pPr>
      <w:r>
        <w:fldChar w:fldCharType="begin"/>
      </w:r>
      <w:r>
        <w:instrText xml:space="preserve"> HYPERLINK \l _Toc3628 </w:instrText>
      </w:r>
      <w:r>
        <w:fldChar w:fldCharType="separate"/>
      </w:r>
      <w:r>
        <w:rPr>
          <w:rFonts w:hint="eastAsia"/>
          <w:lang w:val="en-GB"/>
        </w:rPr>
        <w:t xml:space="preserve">1.1 </w:t>
      </w:r>
      <w:r>
        <w:t>平面图</w:t>
      </w:r>
      <w:r>
        <w:tab/>
      </w:r>
      <w:r>
        <w:fldChar w:fldCharType="begin"/>
      </w:r>
      <w:r>
        <w:instrText xml:space="preserve"> PAGEREF _Toc3628 \h </w:instrText>
      </w:r>
      <w:r>
        <w:fldChar w:fldCharType="separate"/>
      </w:r>
      <w:r>
        <w:t>4</w:t>
      </w:r>
      <w:r>
        <w:fldChar w:fldCharType="end"/>
      </w:r>
      <w:r>
        <w:fldChar w:fldCharType="end"/>
      </w:r>
    </w:p>
    <w:p w14:paraId="1AC10F25">
      <w:pPr>
        <w:pStyle w:val="21"/>
        <w:tabs>
          <w:tab w:val="right" w:leader="dot" w:pos="8930"/>
          <w:tab w:val="clear" w:pos="540"/>
          <w:tab w:val="clear" w:pos="840"/>
          <w:tab w:val="clear" w:pos="9360"/>
        </w:tabs>
      </w:pPr>
      <w:r>
        <w:fldChar w:fldCharType="begin"/>
      </w:r>
      <w:r>
        <w:instrText xml:space="preserve"> HYPERLINK \l _Toc16731 </w:instrText>
      </w:r>
      <w:r>
        <w:fldChar w:fldCharType="separate"/>
      </w:r>
      <w:r>
        <w:rPr>
          <w:rFonts w:hint="eastAsia"/>
          <w:lang w:val="en-GB"/>
        </w:rPr>
        <w:t xml:space="preserve">1.2 </w:t>
      </w:r>
      <w:r>
        <w:rPr>
          <w:rFonts w:hint="eastAsia"/>
        </w:rPr>
        <w:t>三</w:t>
      </w:r>
      <w:r>
        <w:t>维视图</w:t>
      </w:r>
      <w:r>
        <w:tab/>
      </w:r>
      <w:r>
        <w:fldChar w:fldCharType="begin"/>
      </w:r>
      <w:r>
        <w:instrText xml:space="preserve"> PAGEREF _Toc16731 \h </w:instrText>
      </w:r>
      <w:r>
        <w:fldChar w:fldCharType="separate"/>
      </w:r>
      <w:r>
        <w:t>6</w:t>
      </w:r>
      <w:r>
        <w:fldChar w:fldCharType="end"/>
      </w:r>
      <w:r>
        <w:fldChar w:fldCharType="end"/>
      </w:r>
    </w:p>
    <w:p w14:paraId="4D855617">
      <w:pPr>
        <w:pStyle w:val="20"/>
        <w:tabs>
          <w:tab w:val="right" w:leader="dot" w:pos="8930"/>
          <w:tab w:val="clear" w:pos="180"/>
          <w:tab w:val="clear" w:pos="420"/>
          <w:tab w:val="clear" w:pos="9360"/>
        </w:tabs>
      </w:pPr>
      <w:r>
        <w:fldChar w:fldCharType="begin"/>
      </w:r>
      <w:r>
        <w:instrText xml:space="preserve"> HYPERLINK \l _Toc7893 </w:instrText>
      </w:r>
      <w:r>
        <w:fldChar w:fldCharType="separate"/>
      </w:r>
      <w:r>
        <w:rPr>
          <w:rFonts w:hint="eastAsia"/>
        </w:rPr>
        <w:t>2 计算</w:t>
      </w:r>
      <w:r>
        <w:t>依据</w:t>
      </w:r>
      <w:r>
        <w:tab/>
      </w:r>
      <w:r>
        <w:fldChar w:fldCharType="begin"/>
      </w:r>
      <w:r>
        <w:instrText xml:space="preserve"> PAGEREF _Toc7893 \h </w:instrText>
      </w:r>
      <w:r>
        <w:fldChar w:fldCharType="separate"/>
      </w:r>
      <w:r>
        <w:t>7</w:t>
      </w:r>
      <w:r>
        <w:fldChar w:fldCharType="end"/>
      </w:r>
      <w:r>
        <w:fldChar w:fldCharType="end"/>
      </w:r>
    </w:p>
    <w:p w14:paraId="6369AFD0">
      <w:pPr>
        <w:pStyle w:val="20"/>
        <w:tabs>
          <w:tab w:val="right" w:leader="dot" w:pos="8930"/>
          <w:tab w:val="clear" w:pos="180"/>
          <w:tab w:val="clear" w:pos="420"/>
          <w:tab w:val="clear" w:pos="9360"/>
        </w:tabs>
      </w:pPr>
      <w:r>
        <w:fldChar w:fldCharType="begin"/>
      </w:r>
      <w:r>
        <w:instrText xml:space="preserve"> HYPERLINK \l _Toc28040 </w:instrText>
      </w:r>
      <w:r>
        <w:fldChar w:fldCharType="separate"/>
      </w:r>
      <w:r>
        <w:rPr>
          <w:rFonts w:hint="eastAsia"/>
        </w:rPr>
        <w:t>3 参考</w:t>
      </w:r>
      <w:r>
        <w:t>标准</w:t>
      </w:r>
      <w:r>
        <w:tab/>
      </w:r>
      <w:r>
        <w:fldChar w:fldCharType="begin"/>
      </w:r>
      <w:r>
        <w:instrText xml:space="preserve"> PAGEREF _Toc28040 \h </w:instrText>
      </w:r>
      <w:r>
        <w:fldChar w:fldCharType="separate"/>
      </w:r>
      <w:r>
        <w:t>7</w:t>
      </w:r>
      <w:r>
        <w:fldChar w:fldCharType="end"/>
      </w:r>
      <w:r>
        <w:fldChar w:fldCharType="end"/>
      </w:r>
    </w:p>
    <w:p w14:paraId="102731B7">
      <w:pPr>
        <w:pStyle w:val="20"/>
        <w:tabs>
          <w:tab w:val="right" w:leader="dot" w:pos="8930"/>
          <w:tab w:val="clear" w:pos="180"/>
          <w:tab w:val="clear" w:pos="420"/>
          <w:tab w:val="clear" w:pos="9360"/>
        </w:tabs>
      </w:pPr>
      <w:r>
        <w:fldChar w:fldCharType="begin"/>
      </w:r>
      <w:r>
        <w:instrText xml:space="preserve"> HYPERLINK \l _Toc10110 </w:instrText>
      </w:r>
      <w:r>
        <w:fldChar w:fldCharType="separate"/>
      </w:r>
      <w:r>
        <w:rPr>
          <w:rFonts w:hint="eastAsia"/>
        </w:rPr>
        <w:t>4 技术措施</w:t>
      </w:r>
      <w:r>
        <w:tab/>
      </w:r>
      <w:r>
        <w:fldChar w:fldCharType="begin"/>
      </w:r>
      <w:r>
        <w:instrText xml:space="preserve"> PAGEREF _Toc10110 \h </w:instrText>
      </w:r>
      <w:r>
        <w:fldChar w:fldCharType="separate"/>
      </w:r>
      <w:r>
        <w:t>7</w:t>
      </w:r>
      <w:r>
        <w:fldChar w:fldCharType="end"/>
      </w:r>
      <w:r>
        <w:fldChar w:fldCharType="end"/>
      </w:r>
    </w:p>
    <w:p w14:paraId="15795779">
      <w:pPr>
        <w:pStyle w:val="20"/>
        <w:tabs>
          <w:tab w:val="right" w:leader="dot" w:pos="8930"/>
          <w:tab w:val="clear" w:pos="180"/>
          <w:tab w:val="clear" w:pos="420"/>
          <w:tab w:val="clear" w:pos="9360"/>
        </w:tabs>
      </w:pPr>
      <w:r>
        <w:fldChar w:fldCharType="begin"/>
      </w:r>
      <w:r>
        <w:instrText xml:space="preserve"> HYPERLINK \l _Toc13596 </w:instrText>
      </w:r>
      <w:r>
        <w:fldChar w:fldCharType="separate"/>
      </w:r>
      <w:r>
        <w:rPr>
          <w:rFonts w:hint="eastAsia"/>
        </w:rPr>
        <w:t>5 计算方法</w:t>
      </w:r>
      <w:r>
        <w:tab/>
      </w:r>
      <w:r>
        <w:fldChar w:fldCharType="begin"/>
      </w:r>
      <w:r>
        <w:instrText xml:space="preserve"> PAGEREF _Toc13596 \h </w:instrText>
      </w:r>
      <w:r>
        <w:fldChar w:fldCharType="separate"/>
      </w:r>
      <w:r>
        <w:t>8</w:t>
      </w:r>
      <w:r>
        <w:fldChar w:fldCharType="end"/>
      </w:r>
      <w:r>
        <w:fldChar w:fldCharType="end"/>
      </w:r>
    </w:p>
    <w:p w14:paraId="267ECBA4">
      <w:pPr>
        <w:pStyle w:val="21"/>
        <w:tabs>
          <w:tab w:val="right" w:leader="dot" w:pos="8930"/>
          <w:tab w:val="clear" w:pos="540"/>
          <w:tab w:val="clear" w:pos="840"/>
          <w:tab w:val="clear" w:pos="9360"/>
        </w:tabs>
      </w:pPr>
      <w:r>
        <w:fldChar w:fldCharType="begin"/>
      </w:r>
      <w:r>
        <w:instrText xml:space="preserve"> HYPERLINK \l _Toc4273 </w:instrText>
      </w:r>
      <w:r>
        <w:fldChar w:fldCharType="separate"/>
      </w:r>
      <w:r>
        <w:rPr>
          <w:rFonts w:hint="eastAsia"/>
          <w:lang w:val="en-GB"/>
        </w:rPr>
        <w:t xml:space="preserve">5.1 </w:t>
      </w:r>
      <w:r>
        <w:t>CFD</w:t>
      </w:r>
      <w:r>
        <w:rPr>
          <w:rFonts w:hint="eastAsia"/>
        </w:rPr>
        <w:t>计算原理</w:t>
      </w:r>
      <w:r>
        <w:tab/>
      </w:r>
      <w:r>
        <w:fldChar w:fldCharType="begin"/>
      </w:r>
      <w:r>
        <w:instrText xml:space="preserve"> PAGEREF _Toc4273 \h </w:instrText>
      </w:r>
      <w:r>
        <w:fldChar w:fldCharType="separate"/>
      </w:r>
      <w:r>
        <w:t>8</w:t>
      </w:r>
      <w:r>
        <w:fldChar w:fldCharType="end"/>
      </w:r>
      <w:r>
        <w:fldChar w:fldCharType="end"/>
      </w:r>
    </w:p>
    <w:p w14:paraId="3AFEBFD1">
      <w:pPr>
        <w:pStyle w:val="16"/>
        <w:tabs>
          <w:tab w:val="right" w:leader="dot" w:pos="8930"/>
          <w:tab w:val="clear" w:pos="900"/>
          <w:tab w:val="clear" w:pos="1260"/>
          <w:tab w:val="clear" w:pos="9360"/>
        </w:tabs>
      </w:pPr>
      <w:r>
        <w:fldChar w:fldCharType="begin"/>
      </w:r>
      <w:r>
        <w:instrText xml:space="preserve"> HYPERLINK \l _Toc3034 </w:instrText>
      </w:r>
      <w:r>
        <w:fldChar w:fldCharType="separate"/>
      </w:r>
      <w:r>
        <w:rPr>
          <w:rFonts w:hint="eastAsia" w:eastAsia="宋体"/>
          <w:szCs w:val="24"/>
          <w:lang w:val="en-GB"/>
        </w:rPr>
        <w:t xml:space="preserve">5.1.1 </w:t>
      </w:r>
      <w:r>
        <w:rPr>
          <w:rFonts w:hint="eastAsia"/>
        </w:rPr>
        <w:t>湍流模型</w:t>
      </w:r>
      <w:r>
        <w:tab/>
      </w:r>
      <w:r>
        <w:fldChar w:fldCharType="begin"/>
      </w:r>
      <w:r>
        <w:instrText xml:space="preserve"> PAGEREF _Toc3034 \h </w:instrText>
      </w:r>
      <w:r>
        <w:fldChar w:fldCharType="separate"/>
      </w:r>
      <w:r>
        <w:t>8</w:t>
      </w:r>
      <w:r>
        <w:fldChar w:fldCharType="end"/>
      </w:r>
      <w:r>
        <w:fldChar w:fldCharType="end"/>
      </w:r>
    </w:p>
    <w:p w14:paraId="2D9B96CB">
      <w:pPr>
        <w:pStyle w:val="16"/>
        <w:tabs>
          <w:tab w:val="right" w:leader="dot" w:pos="8930"/>
          <w:tab w:val="clear" w:pos="900"/>
          <w:tab w:val="clear" w:pos="1260"/>
          <w:tab w:val="clear" w:pos="9360"/>
        </w:tabs>
      </w:pPr>
      <w:r>
        <w:fldChar w:fldCharType="begin"/>
      </w:r>
      <w:r>
        <w:instrText xml:space="preserve"> HYPERLINK \l _Toc24340 </w:instrText>
      </w:r>
      <w:r>
        <w:fldChar w:fldCharType="separate"/>
      </w:r>
      <w:r>
        <w:rPr>
          <w:rFonts w:hint="eastAsia" w:eastAsia="宋体"/>
          <w:szCs w:val="24"/>
          <w:lang w:val="en-GB"/>
        </w:rPr>
        <w:t xml:space="preserve">5.1.2 </w:t>
      </w:r>
      <w:r>
        <w:rPr>
          <w:rFonts w:hint="eastAsia"/>
        </w:rPr>
        <w:t>边界条件</w:t>
      </w:r>
      <w:r>
        <w:tab/>
      </w:r>
      <w:r>
        <w:fldChar w:fldCharType="begin"/>
      </w:r>
      <w:r>
        <w:instrText xml:space="preserve"> PAGEREF _Toc24340 \h </w:instrText>
      </w:r>
      <w:r>
        <w:fldChar w:fldCharType="separate"/>
      </w:r>
      <w:r>
        <w:t>9</w:t>
      </w:r>
      <w:r>
        <w:fldChar w:fldCharType="end"/>
      </w:r>
      <w:r>
        <w:fldChar w:fldCharType="end"/>
      </w:r>
    </w:p>
    <w:p w14:paraId="29CE9222">
      <w:pPr>
        <w:pStyle w:val="16"/>
        <w:tabs>
          <w:tab w:val="right" w:leader="dot" w:pos="8930"/>
          <w:tab w:val="clear" w:pos="900"/>
          <w:tab w:val="clear" w:pos="1260"/>
          <w:tab w:val="clear" w:pos="9360"/>
        </w:tabs>
      </w:pPr>
      <w:r>
        <w:fldChar w:fldCharType="begin"/>
      </w:r>
      <w:r>
        <w:instrText xml:space="preserve"> HYPERLINK \l _Toc3061 </w:instrText>
      </w:r>
      <w:r>
        <w:fldChar w:fldCharType="separate"/>
      </w:r>
      <w:r>
        <w:rPr>
          <w:rFonts w:hint="eastAsia" w:eastAsia="宋体"/>
          <w:szCs w:val="24"/>
          <w:lang w:val="en-GB"/>
        </w:rPr>
        <w:t xml:space="preserve">5.1.3 </w:t>
      </w:r>
      <w:r>
        <w:rPr>
          <w:rFonts w:hint="eastAsia"/>
        </w:rPr>
        <w:t>求解计算</w:t>
      </w:r>
      <w:r>
        <w:tab/>
      </w:r>
      <w:r>
        <w:fldChar w:fldCharType="begin"/>
      </w:r>
      <w:r>
        <w:instrText xml:space="preserve"> PAGEREF _Toc3061 \h </w:instrText>
      </w:r>
      <w:r>
        <w:fldChar w:fldCharType="separate"/>
      </w:r>
      <w:r>
        <w:t>9</w:t>
      </w:r>
      <w:r>
        <w:fldChar w:fldCharType="end"/>
      </w:r>
      <w:r>
        <w:fldChar w:fldCharType="end"/>
      </w:r>
    </w:p>
    <w:p w14:paraId="6FEA1F50">
      <w:pPr>
        <w:pStyle w:val="20"/>
        <w:tabs>
          <w:tab w:val="right" w:leader="dot" w:pos="8930"/>
          <w:tab w:val="clear" w:pos="180"/>
          <w:tab w:val="clear" w:pos="420"/>
          <w:tab w:val="clear" w:pos="9360"/>
        </w:tabs>
      </w:pPr>
      <w:r>
        <w:fldChar w:fldCharType="begin"/>
      </w:r>
      <w:r>
        <w:instrText xml:space="preserve"> HYPERLINK \l _Toc29589 </w:instrText>
      </w:r>
      <w:r>
        <w:fldChar w:fldCharType="separate"/>
      </w:r>
      <w:r>
        <w:rPr>
          <w:rFonts w:hint="eastAsia"/>
        </w:rPr>
        <w:t>6 结果</w:t>
      </w:r>
      <w:r>
        <w:t>分析</w:t>
      </w:r>
      <w:r>
        <w:tab/>
      </w:r>
      <w:r>
        <w:fldChar w:fldCharType="begin"/>
      </w:r>
      <w:r>
        <w:instrText xml:space="preserve"> PAGEREF _Toc29589 \h </w:instrText>
      </w:r>
      <w:r>
        <w:fldChar w:fldCharType="separate"/>
      </w:r>
      <w:r>
        <w:t>11</w:t>
      </w:r>
      <w:r>
        <w:fldChar w:fldCharType="end"/>
      </w:r>
      <w:r>
        <w:fldChar w:fldCharType="end"/>
      </w:r>
    </w:p>
    <w:p w14:paraId="5B248175">
      <w:pPr>
        <w:pStyle w:val="21"/>
        <w:tabs>
          <w:tab w:val="right" w:leader="dot" w:pos="8930"/>
          <w:tab w:val="clear" w:pos="540"/>
          <w:tab w:val="clear" w:pos="840"/>
          <w:tab w:val="clear" w:pos="9360"/>
        </w:tabs>
      </w:pPr>
      <w:r>
        <w:fldChar w:fldCharType="begin"/>
      </w:r>
      <w:r>
        <w:instrText xml:space="preserve"> HYPERLINK \l _Toc3105 </w:instrText>
      </w:r>
      <w:r>
        <w:fldChar w:fldCharType="separate"/>
      </w:r>
      <w:r>
        <w:rPr>
          <w:rFonts w:hint="eastAsia"/>
          <w:lang w:val="en-GB"/>
        </w:rPr>
        <w:t xml:space="preserve">6.1 </w:t>
      </w:r>
      <w:r>
        <w:rPr>
          <w:rFonts w:hint="eastAsia"/>
        </w:rPr>
        <w:t>室内速度场分布</w:t>
      </w:r>
      <w:r>
        <w:tab/>
      </w:r>
      <w:r>
        <w:fldChar w:fldCharType="begin"/>
      </w:r>
      <w:r>
        <w:instrText xml:space="preserve"> PAGEREF _Toc3105 \h </w:instrText>
      </w:r>
      <w:r>
        <w:fldChar w:fldCharType="separate"/>
      </w:r>
      <w:r>
        <w:t>11</w:t>
      </w:r>
      <w:r>
        <w:fldChar w:fldCharType="end"/>
      </w:r>
      <w:r>
        <w:fldChar w:fldCharType="end"/>
      </w:r>
    </w:p>
    <w:p w14:paraId="4EC81181">
      <w:pPr>
        <w:pStyle w:val="21"/>
        <w:tabs>
          <w:tab w:val="right" w:leader="dot" w:pos="8930"/>
          <w:tab w:val="clear" w:pos="540"/>
          <w:tab w:val="clear" w:pos="840"/>
          <w:tab w:val="clear" w:pos="9360"/>
        </w:tabs>
      </w:pPr>
      <w:r>
        <w:fldChar w:fldCharType="begin"/>
      </w:r>
      <w:r>
        <w:instrText xml:space="preserve"> HYPERLINK \l _Toc17827 </w:instrText>
      </w:r>
      <w:r>
        <w:fldChar w:fldCharType="separate"/>
      </w:r>
      <w:r>
        <w:rPr>
          <w:rFonts w:hint="eastAsia"/>
          <w:lang w:val="en-GB"/>
        </w:rPr>
        <w:t xml:space="preserve">6.2 </w:t>
      </w:r>
      <w:r>
        <w:rPr>
          <w:rFonts w:hint="eastAsia"/>
        </w:rPr>
        <w:t>室内风速矢量图</w:t>
      </w:r>
      <w:r>
        <w:tab/>
      </w:r>
      <w:r>
        <w:fldChar w:fldCharType="begin"/>
      </w:r>
      <w:r>
        <w:instrText xml:space="preserve"> PAGEREF _Toc17827 \h </w:instrText>
      </w:r>
      <w:r>
        <w:fldChar w:fldCharType="separate"/>
      </w:r>
      <w:r>
        <w:t>11</w:t>
      </w:r>
      <w:r>
        <w:fldChar w:fldCharType="end"/>
      </w:r>
      <w:r>
        <w:fldChar w:fldCharType="end"/>
      </w:r>
    </w:p>
    <w:p w14:paraId="09B60FA5">
      <w:pPr>
        <w:pStyle w:val="21"/>
        <w:tabs>
          <w:tab w:val="right" w:leader="dot" w:pos="8930"/>
          <w:tab w:val="clear" w:pos="540"/>
          <w:tab w:val="clear" w:pos="840"/>
          <w:tab w:val="clear" w:pos="9360"/>
        </w:tabs>
      </w:pPr>
      <w:r>
        <w:fldChar w:fldCharType="begin"/>
      </w:r>
      <w:r>
        <w:instrText xml:space="preserve"> HYPERLINK \l _Toc31576 </w:instrText>
      </w:r>
      <w:r>
        <w:fldChar w:fldCharType="separate"/>
      </w:r>
      <w:r>
        <w:rPr>
          <w:rFonts w:hint="eastAsia"/>
          <w:lang w:val="en-GB"/>
        </w:rPr>
        <w:t xml:space="preserve">6.3 </w:t>
      </w:r>
      <w:r>
        <w:rPr>
          <w:rFonts w:hint="eastAsia"/>
        </w:rPr>
        <w:t>流线图</w:t>
      </w:r>
      <w:r>
        <w:tab/>
      </w:r>
      <w:r>
        <w:fldChar w:fldCharType="begin"/>
      </w:r>
      <w:r>
        <w:instrText xml:space="preserve"> PAGEREF _Toc31576 \h </w:instrText>
      </w:r>
      <w:r>
        <w:fldChar w:fldCharType="separate"/>
      </w:r>
      <w:r>
        <w:t>12</w:t>
      </w:r>
      <w:r>
        <w:fldChar w:fldCharType="end"/>
      </w:r>
      <w:r>
        <w:fldChar w:fldCharType="end"/>
      </w:r>
    </w:p>
    <w:p w14:paraId="34884801">
      <w:pPr>
        <w:pStyle w:val="20"/>
        <w:tabs>
          <w:tab w:val="right" w:leader="dot" w:pos="8930"/>
          <w:tab w:val="clear" w:pos="180"/>
          <w:tab w:val="clear" w:pos="420"/>
          <w:tab w:val="clear" w:pos="9360"/>
        </w:tabs>
      </w:pPr>
      <w:r>
        <w:fldChar w:fldCharType="begin"/>
      </w:r>
      <w:r>
        <w:instrText xml:space="preserve"> HYPERLINK \l _Toc12411 </w:instrText>
      </w:r>
      <w:r>
        <w:fldChar w:fldCharType="separate"/>
      </w:r>
      <w:r>
        <w:rPr>
          <w:rFonts w:hint="eastAsia"/>
          <w:szCs w:val="36"/>
        </w:rPr>
        <w:t>7 结论</w:t>
      </w:r>
      <w:r>
        <w:tab/>
      </w:r>
      <w:r>
        <w:fldChar w:fldCharType="begin"/>
      </w:r>
      <w:r>
        <w:instrText xml:space="preserve"> PAGEREF _Toc12411 \h </w:instrText>
      </w:r>
      <w:r>
        <w:fldChar w:fldCharType="separate"/>
      </w:r>
      <w:r>
        <w:t>12</w:t>
      </w:r>
      <w:r>
        <w:fldChar w:fldCharType="end"/>
      </w:r>
      <w:r>
        <w:fldChar w:fldCharType="end"/>
      </w:r>
    </w:p>
    <w:p w14:paraId="30EAD4DF">
      <w:pPr>
        <w:pStyle w:val="20"/>
        <w:spacing w:line="240" w:lineRule="auto"/>
        <w:sectPr>
          <w:footerReference r:id="rId7" w:type="first"/>
          <w:headerReference r:id="rId5" w:type="default"/>
          <w:footerReference r:id="rId6" w:type="default"/>
          <w:pgSz w:w="11906" w:h="16838"/>
          <w:pgMar w:top="1440" w:right="1558" w:bottom="1440" w:left="1418" w:header="850" w:footer="170" w:gutter="0"/>
          <w:cols w:space="425" w:num="1"/>
          <w:titlePg/>
          <w:docGrid w:type="lines" w:linePitch="312" w:charSpace="0"/>
        </w:sectPr>
      </w:pPr>
      <w:r>
        <w:fldChar w:fldCharType="end"/>
      </w:r>
    </w:p>
    <w:bookmarkEnd w:id="11"/>
    <w:p w14:paraId="709C42AE">
      <w:pPr>
        <w:pStyle w:val="2"/>
      </w:pPr>
      <w:bookmarkStart w:id="12" w:name="_Toc50050011"/>
      <w:bookmarkStart w:id="13" w:name="_Toc452108759"/>
      <w:bookmarkStart w:id="14" w:name="_Toc13735908"/>
      <w:bookmarkStart w:id="15" w:name="_Toc26061"/>
      <w:bookmarkStart w:id="16" w:name="_Toc452108762"/>
      <w:bookmarkStart w:id="17" w:name="TitleFormat"/>
      <w:r>
        <w:rPr>
          <w:rFonts w:hint="eastAsia"/>
        </w:rPr>
        <w:t>项目概况</w:t>
      </w:r>
      <w:bookmarkEnd w:id="12"/>
      <w:bookmarkEnd w:id="13"/>
      <w:bookmarkEnd w:id="14"/>
      <w:bookmarkEnd w:id="15"/>
    </w:p>
    <w:p w14:paraId="5680DB09">
      <w:pPr>
        <w:pStyle w:val="3"/>
        <w:ind w:firstLine="420"/>
        <w:rPr>
          <w:lang w:val="en-US"/>
        </w:rPr>
      </w:pPr>
      <w:bookmarkStart w:id="18" w:name="项目概况"/>
      <w:bookmarkEnd w:id="18"/>
    </w:p>
    <w:p w14:paraId="1E92748F">
      <w:pPr>
        <w:pStyle w:val="3"/>
        <w:ind w:firstLine="420"/>
        <w:rPr>
          <w:lang w:val="en-US"/>
        </w:rPr>
      </w:pPr>
    </w:p>
    <w:p w14:paraId="2D65FF39">
      <w:pPr>
        <w:pStyle w:val="3"/>
        <w:ind w:firstLine="420"/>
        <w:rPr>
          <w:lang w:val="en-US"/>
        </w:rPr>
      </w:pPr>
    </w:p>
    <w:p w14:paraId="6D83E173">
      <w:pPr>
        <w:pStyle w:val="3"/>
        <w:ind w:firstLine="420"/>
        <w:rPr>
          <w:lang w:val="en-US"/>
        </w:rPr>
        <w:sectPr>
          <w:pgSz w:w="11906" w:h="16838"/>
          <w:pgMar w:top="822" w:right="1134" w:bottom="992" w:left="709" w:header="283" w:footer="170" w:gutter="0"/>
          <w:cols w:space="720" w:num="1"/>
          <w:docGrid w:type="linesAndChars" w:linePitch="312" w:charSpace="0"/>
        </w:sectPr>
      </w:pPr>
    </w:p>
    <w:p w14:paraId="56165338">
      <w:pPr>
        <w:pStyle w:val="4"/>
      </w:pPr>
      <w:bookmarkStart w:id="19" w:name="_Toc50050012"/>
      <w:bookmarkStart w:id="20" w:name="_Toc13735909"/>
      <w:bookmarkStart w:id="21" w:name="_Toc452108760"/>
      <w:bookmarkStart w:id="22" w:name="_Toc3628"/>
      <w:bookmarkStart w:id="23" w:name="平面图2"/>
      <w:r>
        <w:t>平面图</w:t>
      </w:r>
      <w:bookmarkEnd w:id="19"/>
      <w:bookmarkEnd w:id="20"/>
      <w:bookmarkEnd w:id="21"/>
      <w:bookmarkEnd w:id="22"/>
    </w:p>
    <w:p w14:paraId="4A16DBF2">
      <w:pPr>
        <w:pStyle w:val="3"/>
        <w:ind w:firstLine="0" w:firstLineChars="0"/>
        <w:jc w:val="center"/>
        <w:rPr>
          <w:lang w:val="en-US"/>
        </w:rPr>
      </w:pPr>
      <w:bookmarkStart w:id="24" w:name="平面图"/>
      <w:bookmarkEnd w:id="24"/>
      <w:r>
        <w:drawing>
          <wp:inline distT="0" distB="0" distL="0" distR="0">
            <wp:extent cx="5667375" cy="320040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pic:cNvPicPr>
                      <a:picLocks noChangeAspect="1"/>
                    </pic:cNvPicPr>
                  </pic:nvPicPr>
                  <pic:blipFill>
                    <a:blip r:embed="rId10"/>
                    <a:stretch>
                      <a:fillRect/>
                    </a:stretch>
                  </pic:blipFill>
                  <pic:spPr>
                    <a:xfrm>
                      <a:off x="0" y="0"/>
                      <a:ext cx="5667375" cy="3200400"/>
                    </a:xfrm>
                    <a:prstGeom prst="rect">
                      <a:avLst/>
                    </a:prstGeom>
                  </pic:spPr>
                </pic:pic>
              </a:graphicData>
            </a:graphic>
          </wp:inline>
        </w:drawing>
      </w:r>
    </w:p>
    <w:p w14:paraId="36B1B418">
      <w:pPr>
        <w:pStyle w:val="3"/>
        <w:ind w:firstLine="0" w:firstLineChars="0"/>
        <w:jc w:val="center"/>
        <w:rPr>
          <w:lang w:val="en-US"/>
        </w:rPr>
      </w:pPr>
      <w:r>
        <w:rPr>
          <w:lang w:val="en-US"/>
        </w:rPr>
        <w:t>1层平面</w:t>
      </w:r>
    </w:p>
    <w:p w14:paraId="17D1F102">
      <w:pPr>
        <w:pStyle w:val="3"/>
        <w:ind w:firstLine="0" w:firstLineChars="0"/>
        <w:jc w:val="center"/>
        <w:rPr>
          <w:lang w:val="en-US"/>
        </w:rPr>
      </w:pPr>
      <w:r>
        <w:drawing>
          <wp:inline distT="0" distB="0" distL="0" distR="0">
            <wp:extent cx="5667375" cy="3000375"/>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pic:cNvPicPr>
                      <a:picLocks noChangeAspect="1"/>
                    </pic:cNvPicPr>
                  </pic:nvPicPr>
                  <pic:blipFill>
                    <a:blip r:embed="rId11"/>
                    <a:stretch>
                      <a:fillRect/>
                    </a:stretch>
                  </pic:blipFill>
                  <pic:spPr>
                    <a:xfrm>
                      <a:off x="0" y="0"/>
                      <a:ext cx="5667375" cy="3000375"/>
                    </a:xfrm>
                    <a:prstGeom prst="rect">
                      <a:avLst/>
                    </a:prstGeom>
                  </pic:spPr>
                </pic:pic>
              </a:graphicData>
            </a:graphic>
          </wp:inline>
        </w:drawing>
      </w:r>
    </w:p>
    <w:p w14:paraId="54792CDB">
      <w:pPr>
        <w:pStyle w:val="3"/>
        <w:ind w:firstLine="0" w:firstLineChars="0"/>
        <w:jc w:val="center"/>
        <w:rPr>
          <w:lang w:val="en-US"/>
        </w:rPr>
      </w:pPr>
      <w:r>
        <w:rPr>
          <w:lang w:val="en-US"/>
        </w:rPr>
        <w:t>2层平面</w:t>
      </w:r>
    </w:p>
    <w:p w14:paraId="2AA76365">
      <w:pPr>
        <w:pStyle w:val="3"/>
        <w:ind w:firstLine="0" w:firstLineChars="0"/>
        <w:jc w:val="center"/>
        <w:rPr>
          <w:lang w:val="en-US"/>
        </w:rPr>
      </w:pPr>
      <w:r>
        <w:drawing>
          <wp:inline distT="0" distB="0" distL="0" distR="0">
            <wp:extent cx="5667375" cy="3676650"/>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17"/>
                    <pic:cNvPicPr>
                      <a:picLocks noChangeAspect="1"/>
                    </pic:cNvPicPr>
                  </pic:nvPicPr>
                  <pic:blipFill>
                    <a:blip r:embed="rId12"/>
                    <a:stretch>
                      <a:fillRect/>
                    </a:stretch>
                  </pic:blipFill>
                  <pic:spPr>
                    <a:xfrm>
                      <a:off x="0" y="0"/>
                      <a:ext cx="5667375" cy="3676650"/>
                    </a:xfrm>
                    <a:prstGeom prst="rect">
                      <a:avLst/>
                    </a:prstGeom>
                  </pic:spPr>
                </pic:pic>
              </a:graphicData>
            </a:graphic>
          </wp:inline>
        </w:drawing>
      </w:r>
    </w:p>
    <w:p w14:paraId="32770D87">
      <w:pPr>
        <w:pStyle w:val="3"/>
        <w:ind w:firstLine="0" w:firstLineChars="0"/>
        <w:jc w:val="center"/>
        <w:rPr>
          <w:lang w:val="en-US"/>
        </w:rPr>
      </w:pPr>
      <w:r>
        <w:rPr>
          <w:lang w:val="en-US"/>
        </w:rPr>
        <w:t>3层平面</w:t>
      </w:r>
    </w:p>
    <w:p w14:paraId="01357C0A">
      <w:pPr>
        <w:pStyle w:val="3"/>
        <w:ind w:firstLine="0" w:firstLineChars="0"/>
        <w:jc w:val="center"/>
        <w:rPr>
          <w:lang w:val="en-US"/>
        </w:rPr>
      </w:pPr>
      <w:r>
        <w:drawing>
          <wp:inline distT="0" distB="0" distL="0" distR="0">
            <wp:extent cx="5667375" cy="395287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18"/>
                    <pic:cNvPicPr>
                      <a:picLocks noChangeAspect="1"/>
                    </pic:cNvPicPr>
                  </pic:nvPicPr>
                  <pic:blipFill>
                    <a:blip r:embed="rId13"/>
                    <a:stretch>
                      <a:fillRect/>
                    </a:stretch>
                  </pic:blipFill>
                  <pic:spPr>
                    <a:xfrm>
                      <a:off x="0" y="0"/>
                      <a:ext cx="5667375" cy="3952875"/>
                    </a:xfrm>
                    <a:prstGeom prst="rect">
                      <a:avLst/>
                    </a:prstGeom>
                  </pic:spPr>
                </pic:pic>
              </a:graphicData>
            </a:graphic>
          </wp:inline>
        </w:drawing>
      </w:r>
    </w:p>
    <w:p w14:paraId="5CF3E929">
      <w:pPr>
        <w:pStyle w:val="3"/>
        <w:ind w:firstLine="0" w:firstLineChars="0"/>
        <w:jc w:val="center"/>
        <w:rPr>
          <w:lang w:val="en-US"/>
        </w:rPr>
      </w:pPr>
      <w:r>
        <w:rPr>
          <w:lang w:val="en-US"/>
        </w:rPr>
        <w:t>4层平面</w:t>
      </w:r>
    </w:p>
    <w:p w14:paraId="4581A0CF">
      <w:pPr>
        <w:pStyle w:val="3"/>
        <w:ind w:firstLine="0" w:firstLineChars="0"/>
        <w:jc w:val="center"/>
        <w:rPr>
          <w:lang w:val="en-US"/>
        </w:rPr>
      </w:pPr>
    </w:p>
    <w:bookmarkEnd w:id="23"/>
    <w:p w14:paraId="2225AF42">
      <w:pPr>
        <w:pStyle w:val="3"/>
        <w:ind w:firstLine="0" w:firstLineChars="0"/>
        <w:jc w:val="center"/>
        <w:rPr>
          <w:lang w:val="en-US"/>
        </w:rPr>
      </w:pPr>
    </w:p>
    <w:p w14:paraId="752C297A">
      <w:pPr>
        <w:pStyle w:val="4"/>
      </w:pPr>
      <w:bookmarkStart w:id="25" w:name="_Toc452108761"/>
      <w:bookmarkStart w:id="26" w:name="_Toc13735910"/>
      <w:bookmarkStart w:id="27" w:name="_Toc50050013"/>
      <w:bookmarkStart w:id="28" w:name="_Toc16731"/>
      <w:r>
        <w:rPr>
          <w:rFonts w:hint="eastAsia"/>
        </w:rPr>
        <w:t>三</w:t>
      </w:r>
      <w:r>
        <w:t>维视图</w:t>
      </w:r>
      <w:bookmarkEnd w:id="25"/>
      <w:bookmarkEnd w:id="26"/>
      <w:bookmarkEnd w:id="27"/>
      <w:bookmarkEnd w:id="28"/>
    </w:p>
    <w:p w14:paraId="0B3ABC30">
      <w:pPr>
        <w:pStyle w:val="3"/>
        <w:ind w:firstLine="0" w:firstLineChars="0"/>
        <w:jc w:val="center"/>
        <w:rPr>
          <w:lang w:val="en-US"/>
        </w:rPr>
      </w:pPr>
      <w:bookmarkStart w:id="29" w:name="三维视图"/>
      <w:bookmarkStart w:id="30" w:name="模型观察"/>
      <w:r>
        <w:t>请先在【模型观察】命令中保存图片</w:t>
      </w:r>
      <w:bookmarkEnd w:id="29"/>
      <w:bookmarkEnd w:id="30"/>
    </w:p>
    <w:p w14:paraId="3FB5B24A">
      <w:pPr>
        <w:pStyle w:val="3"/>
        <w:ind w:firstLine="0" w:firstLineChars="0"/>
        <w:rPr>
          <w:lang w:val="en-US"/>
        </w:rPr>
        <w:sectPr>
          <w:pgSz w:w="11906" w:h="16838"/>
          <w:pgMar w:top="992" w:right="709" w:bottom="822" w:left="1134" w:header="284" w:footer="170" w:gutter="0"/>
          <w:cols w:space="720" w:num="1"/>
          <w:docGrid w:type="linesAndChars" w:linePitch="312" w:charSpace="0"/>
        </w:sectPr>
      </w:pPr>
    </w:p>
    <w:p w14:paraId="47953153">
      <w:pPr>
        <w:pStyle w:val="2"/>
      </w:pPr>
      <w:bookmarkStart w:id="31" w:name="_Toc50050014"/>
      <w:bookmarkStart w:id="32" w:name="_Toc7893"/>
      <w:r>
        <w:rPr>
          <w:rFonts w:hint="eastAsia"/>
        </w:rPr>
        <w:t>计算</w:t>
      </w:r>
      <w:r>
        <w:t>依据</w:t>
      </w:r>
      <w:bookmarkEnd w:id="16"/>
      <w:bookmarkEnd w:id="17"/>
      <w:bookmarkEnd w:id="31"/>
      <w:bookmarkEnd w:id="32"/>
    </w:p>
    <w:p w14:paraId="69439243">
      <w:pPr>
        <w:pStyle w:val="3"/>
        <w:ind w:firstLine="199" w:firstLineChars="95"/>
        <w:rPr>
          <w:lang w:val="en-US"/>
        </w:rPr>
      </w:pPr>
      <w:bookmarkStart w:id="33" w:name="_Toc452108763"/>
      <w:r>
        <w:rPr>
          <w:rFonts w:hint="eastAsia"/>
          <w:lang w:val="en-US"/>
        </w:rPr>
        <w:t>本项目主要参照资料为：</w:t>
      </w:r>
    </w:p>
    <w:p w14:paraId="091C0D22">
      <w:pPr>
        <w:pStyle w:val="3"/>
        <w:numPr>
          <w:ilvl w:val="0"/>
          <w:numId w:val="2"/>
        </w:numPr>
        <w:ind w:left="0" w:firstLine="200" w:firstLineChars="0"/>
        <w:rPr>
          <w:lang w:val="en-US"/>
        </w:rPr>
      </w:pPr>
      <w:bookmarkStart w:id="34" w:name="参考标准名称1"/>
      <w:r>
        <w:rPr>
          <w:rFonts w:hint="eastAsia"/>
          <w:lang w:val="en-US"/>
        </w:rPr>
        <w:t>《绿色建筑评价标准》GB/T50378-2019</w:t>
      </w:r>
      <w:bookmarkEnd w:id="34"/>
    </w:p>
    <w:p w14:paraId="7AE4CB6B">
      <w:pPr>
        <w:pStyle w:val="3"/>
        <w:numPr>
          <w:ilvl w:val="0"/>
          <w:numId w:val="2"/>
        </w:numPr>
        <w:ind w:left="0" w:firstLine="200" w:firstLineChars="0"/>
        <w:rPr>
          <w:lang w:val="en-US"/>
        </w:rPr>
      </w:pPr>
      <w:r>
        <w:rPr>
          <w:rFonts w:hint="eastAsia"/>
          <w:lang w:val="en-US"/>
        </w:rPr>
        <w:t>《绿色建筑评价技术细则》</w:t>
      </w:r>
    </w:p>
    <w:p w14:paraId="553CC339">
      <w:pPr>
        <w:pStyle w:val="3"/>
        <w:numPr>
          <w:ilvl w:val="0"/>
          <w:numId w:val="2"/>
        </w:numPr>
        <w:ind w:left="0" w:firstLine="200" w:firstLineChars="0"/>
        <w:rPr>
          <w:lang w:val="en-US"/>
        </w:rPr>
      </w:pPr>
      <w:r>
        <w:rPr>
          <w:rFonts w:hint="eastAsia"/>
          <w:lang w:val="en-US"/>
        </w:rPr>
        <w:t>《建筑通风效果测试与评价标准》JGJ/T 309—2013</w:t>
      </w:r>
    </w:p>
    <w:p w14:paraId="3357C041">
      <w:pPr>
        <w:pStyle w:val="3"/>
        <w:numPr>
          <w:ilvl w:val="0"/>
          <w:numId w:val="2"/>
        </w:numPr>
        <w:ind w:left="0" w:firstLine="200" w:firstLineChars="0"/>
        <w:rPr>
          <w:lang w:val="en-US"/>
        </w:rPr>
      </w:pPr>
      <w:r>
        <w:rPr>
          <w:rFonts w:hint="eastAsia"/>
          <w:lang w:val="en-US"/>
        </w:rPr>
        <w:t>委托方提供的总平面图、建筑专业设计图纸、设计效果图等图纸资料</w:t>
      </w:r>
    </w:p>
    <w:p w14:paraId="15630B08">
      <w:pPr>
        <w:pStyle w:val="3"/>
        <w:ind w:left="200" w:firstLine="0" w:firstLineChars="0"/>
        <w:rPr>
          <w:lang w:val="en-US"/>
        </w:rPr>
      </w:pPr>
    </w:p>
    <w:p w14:paraId="2676313C">
      <w:pPr>
        <w:pStyle w:val="2"/>
      </w:pPr>
      <w:bookmarkStart w:id="35" w:name="_Toc50050015"/>
      <w:bookmarkStart w:id="36" w:name="_Toc28040"/>
      <w:r>
        <w:rPr>
          <w:rFonts w:hint="eastAsia"/>
        </w:rPr>
        <w:t>参考</w:t>
      </w:r>
      <w:r>
        <w:t>标准</w:t>
      </w:r>
      <w:bookmarkEnd w:id="33"/>
      <w:bookmarkEnd w:id="35"/>
      <w:bookmarkEnd w:id="36"/>
    </w:p>
    <w:p w14:paraId="2C36B007">
      <w:pPr>
        <w:pStyle w:val="3"/>
        <w:ind w:firstLine="420"/>
        <w:rPr>
          <w:lang w:val="en-US"/>
        </w:rPr>
      </w:pPr>
      <w:bookmarkStart w:id="37" w:name="_Toc451698935"/>
      <w:bookmarkStart w:id="38" w:name="_Toc452108764"/>
      <w:bookmarkStart w:id="39" w:name="_Toc451436145"/>
      <w:r>
        <w:rPr>
          <w:rFonts w:hint="eastAsia"/>
          <w:lang w:val="en-US"/>
        </w:rPr>
        <w:t>室内气流组织评价的主要依据为</w:t>
      </w:r>
      <w:bookmarkStart w:id="40" w:name="参考标准名称2"/>
      <w:r>
        <w:rPr>
          <w:rFonts w:hint="eastAsia"/>
          <w:lang w:val="en-US"/>
        </w:rPr>
        <w:t>《绿色建筑评价标准》GB/T50378-2019</w:t>
      </w:r>
      <w:bookmarkEnd w:id="40"/>
      <w:r>
        <w:rPr>
          <w:rFonts w:hint="eastAsia"/>
          <w:lang w:val="en-US"/>
        </w:rPr>
        <w:t>中控制项5.1.2条的要求，具体要求如下：</w:t>
      </w:r>
    </w:p>
    <w:p w14:paraId="63F32823">
      <w:pPr>
        <w:pStyle w:val="15"/>
        <w:tabs>
          <w:tab w:val="left" w:pos="312"/>
        </w:tabs>
        <w:spacing w:line="360" w:lineRule="auto"/>
        <w:ind w:firstLineChars="0"/>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应采取措施避免厨房、餐厅、打印复印室、卫生间、地下车库等区域的空气和污染物串通到其他空间；应防止厨房、卫生间的排气倒灌。</w:t>
      </w:r>
    </w:p>
    <w:p w14:paraId="2C079E6F">
      <w:pPr>
        <w:pStyle w:val="2"/>
      </w:pPr>
      <w:bookmarkStart w:id="41" w:name="_Toc50050016"/>
      <w:bookmarkStart w:id="42" w:name="_Toc10110"/>
      <w:r>
        <w:rPr>
          <w:rFonts w:hint="eastAsia"/>
        </w:rPr>
        <w:t>技术措施</w:t>
      </w:r>
      <w:bookmarkEnd w:id="41"/>
      <w:bookmarkEnd w:id="42"/>
    </w:p>
    <w:p w14:paraId="0C57B369">
      <w:pPr>
        <w:pStyle w:val="3"/>
        <w:ind w:firstLine="420"/>
        <w:rPr>
          <w:lang w:val="en-US"/>
        </w:rPr>
      </w:pPr>
      <w:r>
        <w:rPr>
          <w:rFonts w:hint="eastAsia"/>
          <w:lang w:val="en-US"/>
        </w:rPr>
        <w:t>本项目采用了如下技术措施避免室内气流组织合理，防止污染物串通：</w:t>
      </w:r>
    </w:p>
    <w:tbl>
      <w:tblPr>
        <w:tblStyle w:val="22"/>
        <w:tblW w:w="9718"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518"/>
        <w:gridCol w:w="7199"/>
      </w:tblGrid>
      <w:tr w14:paraId="66B0BCF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4B847F4E">
            <w:pPr>
              <w:jc w:val="center"/>
              <w:rPr>
                <w:sz w:val="21"/>
                <w:szCs w:val="21"/>
              </w:rPr>
            </w:pPr>
            <w:r>
              <w:rPr>
                <w:sz w:val="21"/>
                <w:szCs w:val="21"/>
              </w:rPr>
              <w:t>房间类型</w:t>
            </w:r>
          </w:p>
        </w:tc>
        <w:tc>
          <w:tcPr>
            <w:shd w:val="clear" w:color="auto" w:fill="E6E6E6"/>
            <w:vAlign w:val="center"/>
          </w:tcPr>
          <w:p w14:paraId="7BFEC0EC">
            <w:pPr>
              <w:jc w:val="center"/>
              <w:rPr>
                <w:sz w:val="21"/>
                <w:szCs w:val="21"/>
              </w:rPr>
            </w:pPr>
            <w:r>
              <w:rPr>
                <w:sz w:val="21"/>
                <w:szCs w:val="21"/>
              </w:rPr>
              <w:t>措施</w:t>
            </w:r>
          </w:p>
        </w:tc>
      </w:tr>
      <w:tr w14:paraId="3A652ADE">
        <w:tblPrEx>
          <w:tblCellMar>
            <w:top w:w="0" w:type="dxa"/>
            <w:left w:w="108" w:type="dxa"/>
            <w:bottom w:w="0" w:type="dxa"/>
            <w:right w:w="108" w:type="dxa"/>
          </w:tblCellMar>
        </w:tblPrEx>
        <w:tc>
          <w:tcPr>
            <w:vMerge w:val="restart"/>
            <w:vAlign w:val="center"/>
          </w:tcPr>
          <w:p w14:paraId="3F0664D7">
            <w:pPr>
              <w:rPr>
                <w:sz w:val="21"/>
                <w:szCs w:val="21"/>
              </w:rPr>
            </w:pPr>
            <w:r>
              <w:rPr>
                <w:sz w:val="21"/>
                <w:szCs w:val="21"/>
              </w:rPr>
              <w:t>厨房</w:t>
            </w:r>
          </w:p>
        </w:tc>
        <w:tc>
          <w:tcPr>
            <w:vAlign w:val="center"/>
          </w:tcPr>
          <w:p w14:paraId="72250158">
            <w:pPr>
              <w:rPr>
                <w:sz w:val="21"/>
                <w:szCs w:val="21"/>
              </w:rPr>
            </w:pPr>
            <w:r>
              <w:rPr>
                <w:sz w:val="21"/>
                <w:szCs w:val="21"/>
              </w:rPr>
              <w:t>置于自然通风负压侧</w:t>
            </w:r>
          </w:p>
        </w:tc>
      </w:tr>
      <w:tr w14:paraId="79E638A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D79AA06">
            <w:pPr>
              <w:rPr>
                <w:sz w:val="21"/>
                <w:szCs w:val="21"/>
              </w:rPr>
            </w:pPr>
          </w:p>
        </w:tc>
        <w:tc>
          <w:tcPr>
            <w:vAlign w:val="center"/>
          </w:tcPr>
          <w:p w14:paraId="2640F1D3">
            <w:pPr>
              <w:rPr>
                <w:sz w:val="21"/>
                <w:szCs w:val="21"/>
              </w:rPr>
            </w:pPr>
            <w:r>
              <w:rPr>
                <w:sz w:val="21"/>
                <w:szCs w:val="21"/>
              </w:rPr>
              <w:t>设置可关闭的门</w:t>
            </w:r>
          </w:p>
        </w:tc>
      </w:tr>
      <w:tr w14:paraId="3B3B9D4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03759AC">
            <w:pPr>
              <w:rPr>
                <w:sz w:val="21"/>
                <w:szCs w:val="21"/>
              </w:rPr>
            </w:pPr>
          </w:p>
        </w:tc>
        <w:tc>
          <w:tcPr>
            <w:vAlign w:val="center"/>
          </w:tcPr>
          <w:p w14:paraId="475DDE79">
            <w:pPr>
              <w:rPr>
                <w:sz w:val="21"/>
                <w:szCs w:val="21"/>
              </w:rPr>
            </w:pPr>
            <w:r>
              <w:rPr>
                <w:sz w:val="21"/>
                <w:szCs w:val="21"/>
              </w:rPr>
              <w:t>安装抽油烟机</w:t>
            </w:r>
          </w:p>
        </w:tc>
      </w:tr>
      <w:tr w14:paraId="5156A28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CAE4142">
            <w:pPr>
              <w:rPr>
                <w:sz w:val="21"/>
                <w:szCs w:val="21"/>
              </w:rPr>
            </w:pPr>
          </w:p>
        </w:tc>
        <w:tc>
          <w:tcPr>
            <w:vAlign w:val="center"/>
          </w:tcPr>
          <w:p w14:paraId="2E19631F">
            <w:pPr>
              <w:rPr>
                <w:sz w:val="21"/>
                <w:szCs w:val="21"/>
              </w:rPr>
            </w:pPr>
            <w:r>
              <w:rPr>
                <w:sz w:val="21"/>
                <w:szCs w:val="21"/>
              </w:rPr>
              <w:t>设置竖向排风道</w:t>
            </w:r>
          </w:p>
        </w:tc>
      </w:tr>
      <w:tr w14:paraId="0D5676C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6C0FC59">
            <w:pPr>
              <w:rPr>
                <w:sz w:val="21"/>
                <w:szCs w:val="21"/>
              </w:rPr>
            </w:pPr>
          </w:p>
        </w:tc>
        <w:tc>
          <w:tcPr>
            <w:vAlign w:val="center"/>
          </w:tcPr>
          <w:p w14:paraId="0E97299A">
            <w:pPr>
              <w:rPr>
                <w:sz w:val="21"/>
                <w:szCs w:val="21"/>
              </w:rPr>
            </w:pPr>
            <w:r>
              <w:rPr>
                <w:sz w:val="21"/>
                <w:szCs w:val="21"/>
              </w:rPr>
              <w:t>采用双烟道设计</w:t>
            </w:r>
          </w:p>
        </w:tc>
      </w:tr>
      <w:tr w14:paraId="74960B57">
        <w:tblPrEx>
          <w:tblCellMar>
            <w:top w:w="0" w:type="dxa"/>
            <w:left w:w="108" w:type="dxa"/>
            <w:bottom w:w="0" w:type="dxa"/>
            <w:right w:w="108" w:type="dxa"/>
          </w:tblCellMar>
        </w:tblPrEx>
        <w:tc>
          <w:tcPr>
            <w:vMerge w:val="continue"/>
            <w:vAlign w:val="center"/>
          </w:tcPr>
          <w:p w14:paraId="177DBA40">
            <w:pPr>
              <w:rPr>
                <w:sz w:val="21"/>
                <w:szCs w:val="21"/>
              </w:rPr>
            </w:pPr>
          </w:p>
        </w:tc>
        <w:tc>
          <w:tcPr>
            <w:vAlign w:val="center"/>
          </w:tcPr>
          <w:p w14:paraId="1948C7A9">
            <w:pPr>
              <w:rPr>
                <w:sz w:val="21"/>
                <w:szCs w:val="21"/>
              </w:rPr>
            </w:pPr>
            <w:r>
              <w:rPr>
                <w:sz w:val="21"/>
                <w:szCs w:val="21"/>
              </w:rPr>
              <w:t>排气道设计有利于排气通畅</w:t>
            </w:r>
          </w:p>
        </w:tc>
      </w:tr>
      <w:tr w14:paraId="3AE932D6">
        <w:tblPrEx>
          <w:tblCellMar>
            <w:top w:w="0" w:type="dxa"/>
            <w:left w:w="108" w:type="dxa"/>
            <w:bottom w:w="0" w:type="dxa"/>
            <w:right w:w="108" w:type="dxa"/>
          </w:tblCellMar>
        </w:tblPrEx>
        <w:tc>
          <w:tcPr>
            <w:vMerge w:val="continue"/>
            <w:vAlign w:val="center"/>
          </w:tcPr>
          <w:p w14:paraId="262AC099">
            <w:pPr>
              <w:rPr>
                <w:sz w:val="21"/>
                <w:szCs w:val="21"/>
              </w:rPr>
            </w:pPr>
          </w:p>
        </w:tc>
        <w:tc>
          <w:tcPr>
            <w:vAlign w:val="center"/>
          </w:tcPr>
          <w:p w14:paraId="4ED7D8BD">
            <w:pPr>
              <w:rPr>
                <w:sz w:val="21"/>
                <w:szCs w:val="21"/>
              </w:rPr>
            </w:pPr>
            <w:r>
              <w:rPr>
                <w:sz w:val="21"/>
                <w:szCs w:val="21"/>
              </w:rPr>
              <w:t>安装止回排气阀、放倒灌风帽</w:t>
            </w:r>
          </w:p>
        </w:tc>
      </w:tr>
      <w:tr w14:paraId="401849A7">
        <w:tblPrEx>
          <w:tblCellMar>
            <w:top w:w="0" w:type="dxa"/>
            <w:left w:w="108" w:type="dxa"/>
            <w:bottom w:w="0" w:type="dxa"/>
            <w:right w:w="108" w:type="dxa"/>
          </w:tblCellMar>
        </w:tblPrEx>
        <w:tc>
          <w:tcPr>
            <w:vMerge w:val="continue"/>
            <w:vAlign w:val="center"/>
          </w:tcPr>
          <w:p w14:paraId="66B1CD98">
            <w:pPr>
              <w:rPr>
                <w:sz w:val="21"/>
                <w:szCs w:val="21"/>
              </w:rPr>
            </w:pPr>
          </w:p>
        </w:tc>
        <w:tc>
          <w:tcPr>
            <w:vAlign w:val="center"/>
          </w:tcPr>
          <w:p w14:paraId="22CDBB57">
            <w:pPr>
              <w:rPr>
                <w:sz w:val="21"/>
                <w:szCs w:val="21"/>
              </w:rPr>
            </w:pPr>
            <w:r>
              <w:rPr>
                <w:sz w:val="21"/>
                <w:szCs w:val="21"/>
              </w:rPr>
              <w:t>风口位置合理，进排风无短路/无污染</w:t>
            </w:r>
          </w:p>
        </w:tc>
      </w:tr>
      <w:tr w14:paraId="785FE3F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884D6A8">
            <w:pPr>
              <w:rPr>
                <w:sz w:val="21"/>
                <w:szCs w:val="21"/>
              </w:rPr>
            </w:pPr>
          </w:p>
        </w:tc>
        <w:tc>
          <w:tcPr>
            <w:vAlign w:val="center"/>
          </w:tcPr>
          <w:p w14:paraId="193E3451">
            <w:pPr>
              <w:rPr>
                <w:sz w:val="21"/>
                <w:szCs w:val="21"/>
              </w:rPr>
            </w:pPr>
            <w:r>
              <w:rPr>
                <w:sz w:val="21"/>
                <w:szCs w:val="21"/>
              </w:rPr>
              <w:t>排放位置合理，远离其他空间/室外人员活动区</w:t>
            </w:r>
          </w:p>
        </w:tc>
      </w:tr>
      <w:tr w14:paraId="2325A01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2E052775">
            <w:pPr>
              <w:rPr>
                <w:sz w:val="21"/>
                <w:szCs w:val="21"/>
              </w:rPr>
            </w:pPr>
            <w:r>
              <w:rPr>
                <w:sz w:val="21"/>
                <w:szCs w:val="21"/>
              </w:rPr>
              <w:t>卫生间</w:t>
            </w:r>
          </w:p>
        </w:tc>
        <w:tc>
          <w:tcPr>
            <w:vAlign w:val="center"/>
          </w:tcPr>
          <w:p w14:paraId="734C76DB">
            <w:pPr>
              <w:rPr>
                <w:sz w:val="21"/>
                <w:szCs w:val="21"/>
              </w:rPr>
            </w:pPr>
            <w:r>
              <w:rPr>
                <w:sz w:val="21"/>
                <w:szCs w:val="21"/>
              </w:rPr>
              <w:t>置于自然通风负压侧</w:t>
            </w:r>
          </w:p>
        </w:tc>
      </w:tr>
      <w:tr w14:paraId="5A34217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B02D5CA">
            <w:pPr>
              <w:rPr>
                <w:sz w:val="21"/>
                <w:szCs w:val="21"/>
              </w:rPr>
            </w:pPr>
          </w:p>
        </w:tc>
        <w:tc>
          <w:tcPr>
            <w:vAlign w:val="center"/>
          </w:tcPr>
          <w:p w14:paraId="17E4BA52">
            <w:pPr>
              <w:rPr>
                <w:sz w:val="21"/>
                <w:szCs w:val="21"/>
              </w:rPr>
            </w:pPr>
            <w:r>
              <w:rPr>
                <w:sz w:val="21"/>
                <w:szCs w:val="21"/>
              </w:rPr>
              <w:t>设置可关闭的门</w:t>
            </w:r>
          </w:p>
        </w:tc>
      </w:tr>
      <w:tr w14:paraId="63A5352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D1B5645">
            <w:pPr>
              <w:rPr>
                <w:sz w:val="21"/>
                <w:szCs w:val="21"/>
              </w:rPr>
            </w:pPr>
          </w:p>
        </w:tc>
        <w:tc>
          <w:tcPr>
            <w:vAlign w:val="center"/>
          </w:tcPr>
          <w:p w14:paraId="7776F25E">
            <w:pPr>
              <w:rPr>
                <w:sz w:val="21"/>
                <w:szCs w:val="21"/>
              </w:rPr>
            </w:pPr>
            <w:r>
              <w:rPr>
                <w:sz w:val="21"/>
                <w:szCs w:val="21"/>
              </w:rPr>
              <w:t>安装排气扇</w:t>
            </w:r>
          </w:p>
        </w:tc>
      </w:tr>
      <w:tr w14:paraId="087C2082">
        <w:tblPrEx>
          <w:tblCellMar>
            <w:top w:w="0" w:type="dxa"/>
            <w:left w:w="108" w:type="dxa"/>
            <w:bottom w:w="0" w:type="dxa"/>
            <w:right w:w="108" w:type="dxa"/>
          </w:tblCellMar>
        </w:tblPrEx>
        <w:tc>
          <w:tcPr>
            <w:vMerge w:val="continue"/>
            <w:vAlign w:val="center"/>
          </w:tcPr>
          <w:p w14:paraId="3F21E272">
            <w:pPr>
              <w:rPr>
                <w:sz w:val="21"/>
                <w:szCs w:val="21"/>
              </w:rPr>
            </w:pPr>
          </w:p>
        </w:tc>
        <w:tc>
          <w:tcPr>
            <w:vAlign w:val="center"/>
          </w:tcPr>
          <w:p w14:paraId="4E933A15">
            <w:pPr>
              <w:rPr>
                <w:sz w:val="21"/>
                <w:szCs w:val="21"/>
              </w:rPr>
            </w:pPr>
            <w:r>
              <w:rPr>
                <w:sz w:val="21"/>
                <w:szCs w:val="21"/>
              </w:rPr>
              <w:t>设置竖向排风道</w:t>
            </w:r>
          </w:p>
        </w:tc>
      </w:tr>
      <w:tr w14:paraId="71678AF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DA0E36F">
            <w:pPr>
              <w:rPr>
                <w:sz w:val="21"/>
                <w:szCs w:val="21"/>
              </w:rPr>
            </w:pPr>
          </w:p>
        </w:tc>
        <w:tc>
          <w:tcPr>
            <w:vAlign w:val="center"/>
          </w:tcPr>
          <w:p w14:paraId="7638C0C3">
            <w:pPr>
              <w:rPr>
                <w:sz w:val="21"/>
                <w:szCs w:val="21"/>
              </w:rPr>
            </w:pPr>
            <w:r>
              <w:rPr>
                <w:sz w:val="21"/>
                <w:szCs w:val="21"/>
              </w:rPr>
              <w:t>排气道设计有利于排气通畅</w:t>
            </w:r>
          </w:p>
        </w:tc>
      </w:tr>
      <w:tr w14:paraId="7FC9015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7713E03">
            <w:pPr>
              <w:rPr>
                <w:sz w:val="21"/>
                <w:szCs w:val="21"/>
              </w:rPr>
            </w:pPr>
          </w:p>
        </w:tc>
        <w:tc>
          <w:tcPr>
            <w:vAlign w:val="center"/>
          </w:tcPr>
          <w:p w14:paraId="2E0C90E8">
            <w:pPr>
              <w:rPr>
                <w:sz w:val="21"/>
                <w:szCs w:val="21"/>
              </w:rPr>
            </w:pPr>
            <w:r>
              <w:rPr>
                <w:sz w:val="21"/>
                <w:szCs w:val="21"/>
              </w:rPr>
              <w:t>安装止回排气阀、放倒灌风帽</w:t>
            </w:r>
          </w:p>
        </w:tc>
      </w:tr>
      <w:tr w14:paraId="240137E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EC72227">
            <w:pPr>
              <w:rPr>
                <w:sz w:val="21"/>
                <w:szCs w:val="21"/>
              </w:rPr>
            </w:pPr>
          </w:p>
        </w:tc>
        <w:tc>
          <w:tcPr>
            <w:vAlign w:val="center"/>
          </w:tcPr>
          <w:p w14:paraId="728F0BD0">
            <w:pPr>
              <w:rPr>
                <w:sz w:val="21"/>
                <w:szCs w:val="21"/>
              </w:rPr>
            </w:pPr>
            <w:r>
              <w:rPr>
                <w:sz w:val="21"/>
                <w:szCs w:val="21"/>
              </w:rPr>
              <w:t>风口位置合理，进排风无短路/无污染</w:t>
            </w:r>
          </w:p>
        </w:tc>
      </w:tr>
      <w:tr w14:paraId="2D24259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C963648">
            <w:pPr>
              <w:rPr>
                <w:sz w:val="21"/>
                <w:szCs w:val="21"/>
              </w:rPr>
            </w:pPr>
          </w:p>
        </w:tc>
        <w:tc>
          <w:tcPr>
            <w:vAlign w:val="center"/>
          </w:tcPr>
          <w:p w14:paraId="0F22AE9C">
            <w:pPr>
              <w:rPr>
                <w:sz w:val="21"/>
                <w:szCs w:val="21"/>
              </w:rPr>
            </w:pPr>
            <w:r>
              <w:rPr>
                <w:sz w:val="21"/>
                <w:szCs w:val="21"/>
              </w:rPr>
              <w:t>排放位置合理，远离其他空间/室外人员活动区</w:t>
            </w:r>
          </w:p>
        </w:tc>
      </w:tr>
      <w:tr w14:paraId="605DD8E5">
        <w:tblPrEx>
          <w:tblCellMar>
            <w:top w:w="0" w:type="dxa"/>
            <w:left w:w="108" w:type="dxa"/>
            <w:bottom w:w="0" w:type="dxa"/>
            <w:right w:w="108" w:type="dxa"/>
          </w:tblCellMar>
        </w:tblPrEx>
        <w:tc>
          <w:tcPr>
            <w:vMerge w:val="continue"/>
            <w:vAlign w:val="center"/>
          </w:tcPr>
          <w:p w14:paraId="6209324E">
            <w:pPr>
              <w:rPr>
                <w:sz w:val="21"/>
                <w:szCs w:val="21"/>
              </w:rPr>
            </w:pPr>
          </w:p>
        </w:tc>
        <w:tc>
          <w:tcPr>
            <w:vAlign w:val="center"/>
          </w:tcPr>
          <w:p w14:paraId="0C5DF243">
            <w:pPr>
              <w:rPr>
                <w:sz w:val="21"/>
                <w:szCs w:val="21"/>
              </w:rPr>
            </w:pPr>
            <w:r>
              <w:rPr>
                <w:sz w:val="21"/>
                <w:szCs w:val="21"/>
              </w:rPr>
              <w:t>设置气窗（公共卫生间、浴室）</w:t>
            </w:r>
          </w:p>
        </w:tc>
      </w:tr>
      <w:tr w14:paraId="37EF1390">
        <w:tblPrEx>
          <w:tblCellMar>
            <w:top w:w="0" w:type="dxa"/>
            <w:left w:w="108" w:type="dxa"/>
            <w:bottom w:w="0" w:type="dxa"/>
            <w:right w:w="108" w:type="dxa"/>
          </w:tblCellMar>
        </w:tblPrEx>
        <w:tc>
          <w:tcPr>
            <w:vMerge w:val="restart"/>
            <w:vAlign w:val="center"/>
          </w:tcPr>
          <w:p w14:paraId="0CB9A28A">
            <w:pPr>
              <w:rPr>
                <w:sz w:val="21"/>
                <w:szCs w:val="21"/>
              </w:rPr>
            </w:pPr>
            <w:r>
              <w:rPr>
                <w:sz w:val="21"/>
                <w:szCs w:val="21"/>
              </w:rPr>
              <w:t>餐厅</w:t>
            </w:r>
          </w:p>
        </w:tc>
        <w:tc>
          <w:tcPr>
            <w:vAlign w:val="center"/>
          </w:tcPr>
          <w:p w14:paraId="379B3384">
            <w:pPr>
              <w:rPr>
                <w:sz w:val="21"/>
                <w:szCs w:val="21"/>
              </w:rPr>
            </w:pPr>
            <w:r>
              <w:rPr>
                <w:sz w:val="21"/>
                <w:szCs w:val="21"/>
              </w:rPr>
              <w:t>设置可关闭的门</w:t>
            </w:r>
          </w:p>
        </w:tc>
      </w:tr>
      <w:tr w14:paraId="12DBDCC1">
        <w:tblPrEx>
          <w:tblCellMar>
            <w:top w:w="0" w:type="dxa"/>
            <w:left w:w="108" w:type="dxa"/>
            <w:bottom w:w="0" w:type="dxa"/>
            <w:right w:w="108" w:type="dxa"/>
          </w:tblCellMar>
        </w:tblPrEx>
        <w:tc>
          <w:tcPr>
            <w:vMerge w:val="continue"/>
            <w:vAlign w:val="center"/>
          </w:tcPr>
          <w:p w14:paraId="3C7DED56">
            <w:pPr>
              <w:rPr>
                <w:sz w:val="21"/>
                <w:szCs w:val="21"/>
              </w:rPr>
            </w:pPr>
          </w:p>
        </w:tc>
        <w:tc>
          <w:tcPr>
            <w:vAlign w:val="center"/>
          </w:tcPr>
          <w:p w14:paraId="480B74FF">
            <w:pPr>
              <w:rPr>
                <w:sz w:val="21"/>
                <w:szCs w:val="21"/>
              </w:rPr>
            </w:pPr>
            <w:r>
              <w:rPr>
                <w:sz w:val="21"/>
                <w:szCs w:val="21"/>
              </w:rPr>
              <w:t>安装抽油烟机</w:t>
            </w:r>
          </w:p>
        </w:tc>
      </w:tr>
      <w:tr w14:paraId="05604CCD">
        <w:tblPrEx>
          <w:tblCellMar>
            <w:top w:w="0" w:type="dxa"/>
            <w:left w:w="108" w:type="dxa"/>
            <w:bottom w:w="0" w:type="dxa"/>
            <w:right w:w="108" w:type="dxa"/>
          </w:tblCellMar>
        </w:tblPrEx>
        <w:tc>
          <w:tcPr>
            <w:vMerge w:val="continue"/>
            <w:vAlign w:val="center"/>
          </w:tcPr>
          <w:p w14:paraId="05A5465A">
            <w:pPr>
              <w:rPr>
                <w:sz w:val="21"/>
                <w:szCs w:val="21"/>
              </w:rPr>
            </w:pPr>
          </w:p>
        </w:tc>
        <w:tc>
          <w:tcPr>
            <w:vAlign w:val="center"/>
          </w:tcPr>
          <w:p w14:paraId="0994EE91">
            <w:pPr>
              <w:rPr>
                <w:sz w:val="21"/>
                <w:szCs w:val="21"/>
              </w:rPr>
            </w:pPr>
            <w:r>
              <w:rPr>
                <w:sz w:val="21"/>
                <w:szCs w:val="21"/>
              </w:rPr>
              <w:t>设置负压排风系统</w:t>
            </w:r>
          </w:p>
        </w:tc>
      </w:tr>
      <w:tr w14:paraId="4F242494">
        <w:tblPrEx>
          <w:tblCellMar>
            <w:top w:w="0" w:type="dxa"/>
            <w:left w:w="108" w:type="dxa"/>
            <w:bottom w:w="0" w:type="dxa"/>
            <w:right w:w="108" w:type="dxa"/>
          </w:tblCellMar>
        </w:tblPrEx>
        <w:tc>
          <w:tcPr>
            <w:vMerge w:val="continue"/>
            <w:vAlign w:val="center"/>
          </w:tcPr>
          <w:p w14:paraId="15BE1E96">
            <w:pPr>
              <w:rPr>
                <w:sz w:val="21"/>
                <w:szCs w:val="21"/>
              </w:rPr>
            </w:pPr>
          </w:p>
        </w:tc>
        <w:tc>
          <w:tcPr>
            <w:vAlign w:val="center"/>
          </w:tcPr>
          <w:p w14:paraId="4C849A3F">
            <w:pPr>
              <w:rPr>
                <w:sz w:val="21"/>
                <w:szCs w:val="21"/>
              </w:rPr>
            </w:pPr>
            <w:r>
              <w:rPr>
                <w:sz w:val="21"/>
                <w:szCs w:val="21"/>
              </w:rPr>
              <w:t>风口位置合理，进排风无短路/无污染</w:t>
            </w:r>
          </w:p>
        </w:tc>
      </w:tr>
      <w:tr w14:paraId="62331380">
        <w:tblPrEx>
          <w:tblCellMar>
            <w:top w:w="0" w:type="dxa"/>
            <w:left w:w="108" w:type="dxa"/>
            <w:bottom w:w="0" w:type="dxa"/>
            <w:right w:w="108" w:type="dxa"/>
          </w:tblCellMar>
        </w:tblPrEx>
        <w:tc>
          <w:tcPr>
            <w:vMerge w:val="continue"/>
            <w:vAlign w:val="center"/>
          </w:tcPr>
          <w:p w14:paraId="6781BE96">
            <w:pPr>
              <w:rPr>
                <w:sz w:val="21"/>
                <w:szCs w:val="21"/>
              </w:rPr>
            </w:pPr>
          </w:p>
        </w:tc>
        <w:tc>
          <w:tcPr>
            <w:vAlign w:val="center"/>
          </w:tcPr>
          <w:p w14:paraId="5631634F">
            <w:pPr>
              <w:rPr>
                <w:sz w:val="21"/>
                <w:szCs w:val="21"/>
              </w:rPr>
            </w:pPr>
            <w:r>
              <w:rPr>
                <w:sz w:val="21"/>
                <w:szCs w:val="21"/>
              </w:rPr>
              <w:t>排放位置合理，远离其他空间/室外人员活动区</w:t>
            </w:r>
          </w:p>
        </w:tc>
      </w:tr>
      <w:tr w14:paraId="78101E1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5106183E">
            <w:pPr>
              <w:rPr>
                <w:sz w:val="21"/>
                <w:szCs w:val="21"/>
              </w:rPr>
            </w:pPr>
            <w:r>
              <w:rPr>
                <w:sz w:val="21"/>
                <w:szCs w:val="21"/>
              </w:rPr>
              <w:t>打印复印室</w:t>
            </w:r>
          </w:p>
        </w:tc>
        <w:tc>
          <w:tcPr>
            <w:vAlign w:val="center"/>
          </w:tcPr>
          <w:p w14:paraId="693CECEF">
            <w:pPr>
              <w:rPr>
                <w:sz w:val="21"/>
                <w:szCs w:val="21"/>
              </w:rPr>
            </w:pPr>
            <w:r>
              <w:rPr>
                <w:sz w:val="21"/>
                <w:szCs w:val="21"/>
              </w:rPr>
              <w:t>设置可关闭的门</w:t>
            </w:r>
          </w:p>
        </w:tc>
      </w:tr>
      <w:tr w14:paraId="448CCFC8">
        <w:tblPrEx>
          <w:tblCellMar>
            <w:top w:w="0" w:type="dxa"/>
            <w:left w:w="108" w:type="dxa"/>
            <w:bottom w:w="0" w:type="dxa"/>
            <w:right w:w="108" w:type="dxa"/>
          </w:tblCellMar>
        </w:tblPrEx>
        <w:tc>
          <w:tcPr>
            <w:vMerge w:val="continue"/>
            <w:vAlign w:val="center"/>
          </w:tcPr>
          <w:p w14:paraId="05DD2F49">
            <w:pPr>
              <w:rPr>
                <w:sz w:val="21"/>
                <w:szCs w:val="21"/>
              </w:rPr>
            </w:pPr>
          </w:p>
        </w:tc>
        <w:tc>
          <w:tcPr>
            <w:vAlign w:val="center"/>
          </w:tcPr>
          <w:p w14:paraId="6BC26AFE">
            <w:pPr>
              <w:rPr>
                <w:sz w:val="21"/>
                <w:szCs w:val="21"/>
              </w:rPr>
            </w:pPr>
            <w:r>
              <w:rPr>
                <w:sz w:val="21"/>
                <w:szCs w:val="21"/>
              </w:rPr>
              <w:t>设置负压机械排风</w:t>
            </w:r>
          </w:p>
        </w:tc>
      </w:tr>
      <w:tr w14:paraId="3A9453E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4C22D86">
            <w:pPr>
              <w:rPr>
                <w:sz w:val="21"/>
                <w:szCs w:val="21"/>
              </w:rPr>
            </w:pPr>
          </w:p>
        </w:tc>
        <w:tc>
          <w:tcPr>
            <w:vAlign w:val="center"/>
          </w:tcPr>
          <w:p w14:paraId="7ABEA9E5">
            <w:pPr>
              <w:rPr>
                <w:sz w:val="21"/>
                <w:szCs w:val="21"/>
              </w:rPr>
            </w:pPr>
            <w:r>
              <w:rPr>
                <w:sz w:val="21"/>
                <w:szCs w:val="21"/>
              </w:rPr>
              <w:t>安装止回排气阀、放倒灌风帽</w:t>
            </w:r>
          </w:p>
        </w:tc>
      </w:tr>
      <w:tr w14:paraId="303A69C8">
        <w:tblPrEx>
          <w:tblCellMar>
            <w:top w:w="0" w:type="dxa"/>
            <w:left w:w="108" w:type="dxa"/>
            <w:bottom w:w="0" w:type="dxa"/>
            <w:right w:w="108" w:type="dxa"/>
          </w:tblCellMar>
        </w:tblPrEx>
        <w:tc>
          <w:tcPr>
            <w:vMerge w:val="continue"/>
            <w:vAlign w:val="center"/>
          </w:tcPr>
          <w:p w14:paraId="2ED54A88">
            <w:pPr>
              <w:rPr>
                <w:sz w:val="21"/>
                <w:szCs w:val="21"/>
              </w:rPr>
            </w:pPr>
          </w:p>
        </w:tc>
        <w:tc>
          <w:tcPr>
            <w:vAlign w:val="center"/>
          </w:tcPr>
          <w:p w14:paraId="51AACDA1">
            <w:pPr>
              <w:rPr>
                <w:sz w:val="21"/>
                <w:szCs w:val="21"/>
              </w:rPr>
            </w:pPr>
            <w:r>
              <w:rPr>
                <w:sz w:val="21"/>
                <w:szCs w:val="21"/>
              </w:rPr>
              <w:t>风口位置合理，无短路/无污染</w:t>
            </w:r>
          </w:p>
        </w:tc>
      </w:tr>
      <w:tr w14:paraId="368EC44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31228AB">
            <w:pPr>
              <w:rPr>
                <w:sz w:val="21"/>
                <w:szCs w:val="21"/>
              </w:rPr>
            </w:pPr>
          </w:p>
        </w:tc>
        <w:tc>
          <w:tcPr>
            <w:vAlign w:val="center"/>
          </w:tcPr>
          <w:p w14:paraId="2068DA7E">
            <w:pPr>
              <w:rPr>
                <w:sz w:val="21"/>
                <w:szCs w:val="21"/>
              </w:rPr>
            </w:pPr>
            <w:r>
              <w:rPr>
                <w:sz w:val="21"/>
                <w:szCs w:val="21"/>
              </w:rPr>
              <w:t>排放位置合理，远离其他空间/室外人员活动区</w:t>
            </w:r>
          </w:p>
        </w:tc>
      </w:tr>
      <w:tr w14:paraId="73584E8B">
        <w:tblPrEx>
          <w:tblCellMar>
            <w:top w:w="0" w:type="dxa"/>
            <w:left w:w="108" w:type="dxa"/>
            <w:bottom w:w="0" w:type="dxa"/>
            <w:right w:w="108" w:type="dxa"/>
          </w:tblCellMar>
        </w:tblPrEx>
        <w:tc>
          <w:tcPr>
            <w:vMerge w:val="restart"/>
            <w:vAlign w:val="center"/>
          </w:tcPr>
          <w:p w14:paraId="4F926F10">
            <w:pPr>
              <w:rPr>
                <w:sz w:val="21"/>
                <w:szCs w:val="21"/>
              </w:rPr>
            </w:pPr>
            <w:r>
              <w:rPr>
                <w:sz w:val="21"/>
                <w:szCs w:val="21"/>
              </w:rPr>
              <w:t>地下车库</w:t>
            </w:r>
          </w:p>
        </w:tc>
        <w:tc>
          <w:tcPr>
            <w:vAlign w:val="center"/>
          </w:tcPr>
          <w:p w14:paraId="0D6652C2">
            <w:pPr>
              <w:rPr>
                <w:sz w:val="21"/>
                <w:szCs w:val="21"/>
              </w:rPr>
            </w:pPr>
            <w:r>
              <w:rPr>
                <w:sz w:val="21"/>
                <w:szCs w:val="21"/>
              </w:rPr>
              <w:t>设置可关闭的门</w:t>
            </w:r>
          </w:p>
        </w:tc>
      </w:tr>
      <w:tr w14:paraId="0F878E3A">
        <w:tblPrEx>
          <w:tblCellMar>
            <w:top w:w="0" w:type="dxa"/>
            <w:left w:w="108" w:type="dxa"/>
            <w:bottom w:w="0" w:type="dxa"/>
            <w:right w:w="108" w:type="dxa"/>
          </w:tblCellMar>
        </w:tblPrEx>
        <w:tc>
          <w:tcPr>
            <w:vMerge w:val="continue"/>
            <w:vAlign w:val="center"/>
          </w:tcPr>
          <w:p w14:paraId="1F42B42D">
            <w:pPr>
              <w:rPr>
                <w:sz w:val="21"/>
                <w:szCs w:val="21"/>
              </w:rPr>
            </w:pPr>
          </w:p>
        </w:tc>
        <w:tc>
          <w:tcPr>
            <w:vAlign w:val="center"/>
          </w:tcPr>
          <w:p w14:paraId="6E7F2077">
            <w:pPr>
              <w:rPr>
                <w:sz w:val="21"/>
                <w:szCs w:val="21"/>
              </w:rPr>
            </w:pPr>
            <w:r>
              <w:rPr>
                <w:sz w:val="21"/>
                <w:szCs w:val="21"/>
              </w:rPr>
              <w:t>设置负压机械排风</w:t>
            </w:r>
          </w:p>
        </w:tc>
      </w:tr>
      <w:tr w14:paraId="103C3257">
        <w:tblPrEx>
          <w:tblCellMar>
            <w:top w:w="0" w:type="dxa"/>
            <w:left w:w="108" w:type="dxa"/>
            <w:bottom w:w="0" w:type="dxa"/>
            <w:right w:w="108" w:type="dxa"/>
          </w:tblCellMar>
        </w:tblPrEx>
        <w:tc>
          <w:tcPr>
            <w:vMerge w:val="continue"/>
            <w:vAlign w:val="center"/>
          </w:tcPr>
          <w:p w14:paraId="5B69450C">
            <w:pPr>
              <w:rPr>
                <w:sz w:val="21"/>
                <w:szCs w:val="21"/>
              </w:rPr>
            </w:pPr>
          </w:p>
        </w:tc>
        <w:tc>
          <w:tcPr>
            <w:vAlign w:val="center"/>
          </w:tcPr>
          <w:p w14:paraId="20BF5A4F">
            <w:pPr>
              <w:rPr>
                <w:sz w:val="21"/>
                <w:szCs w:val="21"/>
              </w:rPr>
            </w:pPr>
            <w:r>
              <w:rPr>
                <w:sz w:val="21"/>
                <w:szCs w:val="21"/>
              </w:rPr>
              <w:t>安装止回排气阀、放倒灌风帽</w:t>
            </w:r>
          </w:p>
        </w:tc>
      </w:tr>
      <w:tr w14:paraId="2F41740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B63DC39">
            <w:pPr>
              <w:rPr>
                <w:sz w:val="21"/>
                <w:szCs w:val="21"/>
              </w:rPr>
            </w:pPr>
          </w:p>
        </w:tc>
        <w:tc>
          <w:tcPr>
            <w:vAlign w:val="center"/>
          </w:tcPr>
          <w:p w14:paraId="71B43CF6">
            <w:pPr>
              <w:rPr>
                <w:sz w:val="21"/>
                <w:szCs w:val="21"/>
              </w:rPr>
            </w:pPr>
            <w:r>
              <w:rPr>
                <w:sz w:val="21"/>
                <w:szCs w:val="21"/>
              </w:rPr>
              <w:t>风口位置合理，无短路/无污染</w:t>
            </w:r>
          </w:p>
        </w:tc>
      </w:tr>
      <w:tr w14:paraId="07745DE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CF6811E">
            <w:pPr>
              <w:rPr>
                <w:sz w:val="21"/>
                <w:szCs w:val="21"/>
              </w:rPr>
            </w:pPr>
          </w:p>
        </w:tc>
        <w:tc>
          <w:tcPr>
            <w:vAlign w:val="center"/>
          </w:tcPr>
          <w:p w14:paraId="534C6058">
            <w:pPr>
              <w:rPr>
                <w:sz w:val="21"/>
                <w:szCs w:val="21"/>
              </w:rPr>
            </w:pPr>
            <w:r>
              <w:rPr>
                <w:sz w:val="21"/>
                <w:szCs w:val="21"/>
              </w:rPr>
              <w:t>排风系统独立</w:t>
            </w:r>
          </w:p>
        </w:tc>
      </w:tr>
      <w:tr w14:paraId="08EB671D">
        <w:tblPrEx>
          <w:tblCellMar>
            <w:top w:w="0" w:type="dxa"/>
            <w:left w:w="108" w:type="dxa"/>
            <w:bottom w:w="0" w:type="dxa"/>
            <w:right w:w="108" w:type="dxa"/>
          </w:tblCellMar>
        </w:tblPrEx>
        <w:tc>
          <w:tcPr>
            <w:vMerge w:val="continue"/>
            <w:vAlign w:val="center"/>
          </w:tcPr>
          <w:p w14:paraId="42B3827B">
            <w:pPr>
              <w:rPr>
                <w:sz w:val="21"/>
                <w:szCs w:val="21"/>
              </w:rPr>
            </w:pPr>
          </w:p>
        </w:tc>
        <w:tc>
          <w:tcPr>
            <w:vAlign w:val="center"/>
          </w:tcPr>
          <w:p w14:paraId="3CBFCE6A">
            <w:pPr>
              <w:rPr>
                <w:sz w:val="21"/>
                <w:szCs w:val="21"/>
              </w:rPr>
            </w:pPr>
            <w:r>
              <w:rPr>
                <w:sz w:val="21"/>
                <w:szCs w:val="21"/>
              </w:rPr>
              <w:t>排放位置合理，远离其他空间/室外人员活动区</w:t>
            </w:r>
          </w:p>
        </w:tc>
      </w:tr>
      <w:tr w14:paraId="27320B7A">
        <w:tblPrEx>
          <w:tblCellMar>
            <w:top w:w="0" w:type="dxa"/>
            <w:left w:w="108" w:type="dxa"/>
            <w:bottom w:w="0" w:type="dxa"/>
            <w:right w:w="108" w:type="dxa"/>
          </w:tblCellMar>
        </w:tblPrEx>
        <w:tc>
          <w:tcPr>
            <w:vMerge w:val="restart"/>
            <w:vAlign w:val="center"/>
          </w:tcPr>
          <w:p w14:paraId="43A81955">
            <w:pPr>
              <w:rPr>
                <w:sz w:val="21"/>
                <w:szCs w:val="21"/>
              </w:rPr>
            </w:pPr>
            <w:r>
              <w:rPr>
                <w:sz w:val="21"/>
                <w:szCs w:val="21"/>
              </w:rPr>
              <w:t>垃圾房</w:t>
            </w:r>
          </w:p>
        </w:tc>
        <w:tc>
          <w:tcPr>
            <w:vAlign w:val="center"/>
          </w:tcPr>
          <w:p w14:paraId="3A591D22">
            <w:pPr>
              <w:rPr>
                <w:sz w:val="21"/>
                <w:szCs w:val="21"/>
              </w:rPr>
            </w:pPr>
            <w:r>
              <w:rPr>
                <w:sz w:val="21"/>
                <w:szCs w:val="21"/>
              </w:rPr>
              <w:t>设置可关闭的门</w:t>
            </w:r>
          </w:p>
        </w:tc>
      </w:tr>
      <w:tr w14:paraId="2C7D093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9AA0F60">
            <w:pPr>
              <w:rPr>
                <w:sz w:val="21"/>
                <w:szCs w:val="21"/>
              </w:rPr>
            </w:pPr>
          </w:p>
        </w:tc>
        <w:tc>
          <w:tcPr>
            <w:vAlign w:val="center"/>
          </w:tcPr>
          <w:p w14:paraId="52DF74B5">
            <w:pPr>
              <w:rPr>
                <w:sz w:val="21"/>
                <w:szCs w:val="21"/>
              </w:rPr>
            </w:pPr>
            <w:r>
              <w:rPr>
                <w:sz w:val="21"/>
                <w:szCs w:val="21"/>
              </w:rPr>
              <w:t>设置负压机械排风</w:t>
            </w:r>
          </w:p>
        </w:tc>
      </w:tr>
      <w:tr w14:paraId="4183B629">
        <w:tblPrEx>
          <w:tblCellMar>
            <w:top w:w="0" w:type="dxa"/>
            <w:left w:w="108" w:type="dxa"/>
            <w:bottom w:w="0" w:type="dxa"/>
            <w:right w:w="108" w:type="dxa"/>
          </w:tblCellMar>
        </w:tblPrEx>
        <w:tc>
          <w:tcPr>
            <w:vMerge w:val="continue"/>
            <w:vAlign w:val="center"/>
          </w:tcPr>
          <w:p w14:paraId="2E11EB2E">
            <w:pPr>
              <w:rPr>
                <w:sz w:val="21"/>
                <w:szCs w:val="21"/>
              </w:rPr>
            </w:pPr>
          </w:p>
        </w:tc>
        <w:tc>
          <w:tcPr>
            <w:vAlign w:val="center"/>
          </w:tcPr>
          <w:p w14:paraId="2D119CEC">
            <w:pPr>
              <w:rPr>
                <w:sz w:val="21"/>
                <w:szCs w:val="21"/>
              </w:rPr>
            </w:pPr>
            <w:r>
              <w:rPr>
                <w:sz w:val="21"/>
                <w:szCs w:val="21"/>
              </w:rPr>
              <w:t>安装止回排气阀、放倒灌风帽</w:t>
            </w:r>
          </w:p>
        </w:tc>
      </w:tr>
      <w:tr w14:paraId="51FEAF2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C9A7E3A">
            <w:pPr>
              <w:rPr>
                <w:sz w:val="21"/>
                <w:szCs w:val="21"/>
              </w:rPr>
            </w:pPr>
          </w:p>
        </w:tc>
        <w:tc>
          <w:tcPr>
            <w:vAlign w:val="center"/>
          </w:tcPr>
          <w:p w14:paraId="0CD4F499">
            <w:pPr>
              <w:rPr>
                <w:sz w:val="21"/>
                <w:szCs w:val="21"/>
              </w:rPr>
            </w:pPr>
            <w:r>
              <w:rPr>
                <w:sz w:val="21"/>
                <w:szCs w:val="21"/>
              </w:rPr>
              <w:t>风口位置合理，无短路/无污染</w:t>
            </w:r>
          </w:p>
        </w:tc>
      </w:tr>
      <w:tr w14:paraId="7F9D39C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3D28DA8">
            <w:pPr>
              <w:rPr>
                <w:sz w:val="21"/>
                <w:szCs w:val="21"/>
              </w:rPr>
            </w:pPr>
          </w:p>
        </w:tc>
        <w:tc>
          <w:tcPr>
            <w:vAlign w:val="center"/>
          </w:tcPr>
          <w:p w14:paraId="068D7F28">
            <w:pPr>
              <w:rPr>
                <w:sz w:val="21"/>
                <w:szCs w:val="21"/>
              </w:rPr>
            </w:pPr>
            <w:r>
              <w:rPr>
                <w:sz w:val="21"/>
                <w:szCs w:val="21"/>
              </w:rPr>
              <w:t>排风系统独立</w:t>
            </w:r>
          </w:p>
        </w:tc>
      </w:tr>
      <w:tr w14:paraId="04C8740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E2754A7">
            <w:pPr>
              <w:rPr>
                <w:sz w:val="21"/>
                <w:szCs w:val="21"/>
              </w:rPr>
            </w:pPr>
          </w:p>
        </w:tc>
        <w:tc>
          <w:tcPr>
            <w:vAlign w:val="center"/>
          </w:tcPr>
          <w:p w14:paraId="3C05F02A">
            <w:pPr>
              <w:rPr>
                <w:sz w:val="21"/>
                <w:szCs w:val="21"/>
              </w:rPr>
            </w:pPr>
            <w:r>
              <w:rPr>
                <w:sz w:val="21"/>
                <w:szCs w:val="21"/>
              </w:rPr>
              <w:t>排放位置合理，远离其他空间/室外人员活动区</w:t>
            </w:r>
          </w:p>
        </w:tc>
      </w:tr>
    </w:tbl>
    <w:p w14:paraId="70F53E27">
      <w:pPr>
        <w:pStyle w:val="3"/>
        <w:ind w:firstLine="420"/>
        <w:rPr>
          <w:lang w:val="en-US"/>
        </w:rPr>
      </w:pPr>
      <w:bookmarkStart w:id="43" w:name="技术措施"/>
      <w:bookmarkEnd w:id="43"/>
    </w:p>
    <w:p w14:paraId="63BA8184">
      <w:pPr>
        <w:pStyle w:val="2"/>
      </w:pPr>
      <w:bookmarkStart w:id="44" w:name="_Toc50050017"/>
      <w:bookmarkStart w:id="45" w:name="_Toc13596"/>
      <w:r>
        <w:rPr>
          <w:rFonts w:hint="eastAsia"/>
        </w:rPr>
        <w:t>计算</w:t>
      </w:r>
      <w:bookmarkEnd w:id="37"/>
      <w:bookmarkEnd w:id="38"/>
      <w:r>
        <w:rPr>
          <w:rFonts w:hint="eastAsia"/>
        </w:rPr>
        <w:t>方法</w:t>
      </w:r>
      <w:bookmarkEnd w:id="44"/>
      <w:bookmarkEnd w:id="45"/>
    </w:p>
    <w:p w14:paraId="4740632E">
      <w:pPr>
        <w:pStyle w:val="3"/>
        <w:ind w:firstLine="420"/>
        <w:rPr>
          <w:lang w:val="en-US"/>
        </w:rPr>
      </w:pPr>
      <w:r>
        <w:rPr>
          <w:rFonts w:hint="eastAsia"/>
          <w:lang w:val="en-US"/>
        </w:rPr>
        <w:t xml:space="preserve">本项目首先采用CFD计算得出室内流速分布和气流方向，从整体上展示室内风速和气流组织，为室内优化设 </w:t>
      </w:r>
      <w:r>
        <w:rPr>
          <w:lang w:val="en-US"/>
        </w:rPr>
        <w:t xml:space="preserve"> </w:t>
      </w:r>
      <w:r>
        <w:rPr>
          <w:rFonts w:hint="eastAsia"/>
          <w:lang w:val="en-US"/>
        </w:rPr>
        <w:t>计提供依据。</w:t>
      </w:r>
    </w:p>
    <w:p w14:paraId="5FA94A4D">
      <w:pPr>
        <w:pStyle w:val="4"/>
      </w:pPr>
      <w:bookmarkStart w:id="46" w:name="_Toc50050018"/>
      <w:bookmarkStart w:id="47" w:name="_Toc4273"/>
      <w:r>
        <w:t>CFD</w:t>
      </w:r>
      <w:r>
        <w:rPr>
          <w:rFonts w:hint="eastAsia"/>
        </w:rPr>
        <w:t>计算原理</w:t>
      </w:r>
      <w:bookmarkEnd w:id="46"/>
      <w:bookmarkEnd w:id="47"/>
    </w:p>
    <w:p w14:paraId="763DF200">
      <w:pPr>
        <w:pStyle w:val="5"/>
      </w:pPr>
      <w:bookmarkStart w:id="48" w:name="_Toc50050019"/>
      <w:bookmarkStart w:id="49" w:name="_Toc3034"/>
      <w:bookmarkStart w:id="50" w:name="_Toc452108765"/>
      <w:bookmarkStart w:id="51" w:name="_Toc451698937"/>
      <w:r>
        <w:rPr>
          <w:rFonts w:hint="eastAsia"/>
        </w:rPr>
        <w:t>湍流模型</w:t>
      </w:r>
      <w:bookmarkEnd w:id="48"/>
      <w:bookmarkEnd w:id="49"/>
    </w:p>
    <w:p w14:paraId="2DEC5A72">
      <w:pPr>
        <w:pStyle w:val="3"/>
        <w:ind w:firstLine="0" w:firstLineChars="0"/>
      </w:pPr>
      <w:r>
        <w:rPr>
          <w:rFonts w:hint="eastAsia"/>
        </w:rPr>
        <w:t xml:space="preserve"> </w:t>
      </w:r>
      <w:r>
        <w:t xml:space="preserve">   </w:t>
      </w:r>
      <w:r>
        <w:rPr>
          <w:rFonts w:hint="eastAsia"/>
        </w:rPr>
        <w:t>湍流模型反映了流体流动的状态，在流体力学数值模拟中，不同的流体流动应该选择合适的湍流模型才会最大限度模拟出真实的流场数值。本项目依据《绿色建筑评价技术细则》推荐的标准k-ε湍流模型进行室内流场计算。下表为几种工程流体中常见的湍流模型适用性：</w:t>
      </w:r>
    </w:p>
    <w:p w14:paraId="6D8C9DCE">
      <w:pPr>
        <w:pStyle w:val="3"/>
        <w:spacing w:after="156" w:afterLines="50"/>
        <w:ind w:firstLine="420"/>
      </w:pPr>
      <w:r>
        <w:t xml:space="preserve">                   </w:t>
      </w:r>
      <w:r>
        <w:rPr>
          <w:rFonts w:hint="eastAsia"/>
        </w:rPr>
        <w:t xml:space="preserve">  </w:t>
      </w:r>
      <w:r>
        <w:rPr>
          <w:rFonts w:hint="eastAsia" w:ascii="黑体" w:hAnsi="黑体" w:eastAsia="黑体"/>
          <w:sz w:val="20"/>
          <w:szCs w:val="20"/>
        </w:rPr>
        <w:t>表</w:t>
      </w:r>
      <w:r>
        <w:rPr>
          <w:rFonts w:ascii="黑体" w:hAnsi="黑体" w:eastAsia="黑体"/>
          <w:sz w:val="20"/>
          <w:szCs w:val="20"/>
        </w:rPr>
        <w:t xml:space="preserve"> 1  </w:t>
      </w:r>
      <w:r>
        <w:rPr>
          <w:rFonts w:hint="eastAsia" w:ascii="黑体" w:hAnsi="黑体" w:eastAsia="黑体"/>
          <w:sz w:val="20"/>
          <w:szCs w:val="20"/>
        </w:rPr>
        <w:t>常用湍流模型适用范围</w:t>
      </w:r>
    </w:p>
    <w:tbl>
      <w:tblPr>
        <w:tblStyle w:val="22"/>
        <w:tblW w:w="0" w:type="auto"/>
        <w:tblInd w:w="93" w:type="dxa"/>
        <w:tblLayout w:type="fixed"/>
        <w:tblCellMar>
          <w:top w:w="0" w:type="dxa"/>
          <w:left w:w="108" w:type="dxa"/>
          <w:bottom w:w="0" w:type="dxa"/>
          <w:right w:w="108" w:type="dxa"/>
        </w:tblCellMar>
      </w:tblPr>
      <w:tblGrid>
        <w:gridCol w:w="2640"/>
        <w:gridCol w:w="6760"/>
      </w:tblGrid>
      <w:tr w14:paraId="4D7D77F4">
        <w:trPr>
          <w:trHeight w:val="285" w:hRule="atLeast"/>
        </w:trPr>
        <w:tc>
          <w:tcPr>
            <w:tcW w:w="2640" w:type="dxa"/>
            <w:tcBorders>
              <w:top w:val="single" w:color="auto" w:sz="4" w:space="0"/>
              <w:left w:val="single" w:color="auto" w:sz="4" w:space="0"/>
              <w:bottom w:val="single" w:color="auto" w:sz="4" w:space="0"/>
              <w:right w:val="single" w:color="auto" w:sz="4" w:space="0"/>
            </w:tcBorders>
            <w:vAlign w:val="center"/>
          </w:tcPr>
          <w:p w14:paraId="266F48D7">
            <w:pPr>
              <w:jc w:val="center"/>
              <w:rPr>
                <w:rFonts w:ascii="宋体" w:hAnsi="宋体" w:cs="宋体"/>
                <w:b/>
                <w:bCs/>
                <w:szCs w:val="21"/>
              </w:rPr>
            </w:pPr>
            <w:r>
              <w:rPr>
                <w:rFonts w:hint="eastAsia" w:ascii="宋体" w:hAnsi="宋体" w:cs="宋体"/>
                <w:b/>
                <w:bCs/>
                <w:szCs w:val="21"/>
              </w:rPr>
              <w:t>常用湍流模型</w:t>
            </w:r>
          </w:p>
        </w:tc>
        <w:tc>
          <w:tcPr>
            <w:tcW w:w="6760" w:type="dxa"/>
            <w:tcBorders>
              <w:top w:val="single" w:color="auto" w:sz="4" w:space="0"/>
              <w:left w:val="nil"/>
              <w:bottom w:val="single" w:color="auto" w:sz="4" w:space="0"/>
              <w:right w:val="single" w:color="auto" w:sz="4" w:space="0"/>
            </w:tcBorders>
            <w:vAlign w:val="center"/>
          </w:tcPr>
          <w:p w14:paraId="41888617">
            <w:pPr>
              <w:jc w:val="center"/>
              <w:rPr>
                <w:rFonts w:ascii="宋体" w:hAnsi="宋体" w:cs="宋体"/>
                <w:b/>
                <w:bCs/>
                <w:szCs w:val="21"/>
              </w:rPr>
            </w:pPr>
            <w:r>
              <w:rPr>
                <w:rFonts w:hint="eastAsia" w:ascii="宋体" w:hAnsi="宋体" w:cs="宋体"/>
                <w:b/>
                <w:bCs/>
                <w:szCs w:val="21"/>
              </w:rPr>
              <w:t>特点和适用工况</w:t>
            </w:r>
          </w:p>
        </w:tc>
      </w:tr>
      <w:tr w14:paraId="2CCB60E3">
        <w:tblPrEx>
          <w:tblCellMar>
            <w:top w:w="0" w:type="dxa"/>
            <w:left w:w="108" w:type="dxa"/>
            <w:bottom w:w="0" w:type="dxa"/>
            <w:right w:w="108" w:type="dxa"/>
          </w:tblCellMar>
        </w:tblPrEx>
        <w:trPr>
          <w:trHeight w:val="1219" w:hRule="atLeast"/>
        </w:trPr>
        <w:tc>
          <w:tcPr>
            <w:tcW w:w="2640" w:type="dxa"/>
            <w:tcBorders>
              <w:top w:val="nil"/>
              <w:left w:val="single" w:color="auto" w:sz="4" w:space="0"/>
              <w:bottom w:val="single" w:color="auto" w:sz="4" w:space="0"/>
              <w:right w:val="single" w:color="auto" w:sz="4" w:space="0"/>
            </w:tcBorders>
            <w:vAlign w:val="center"/>
          </w:tcPr>
          <w:p w14:paraId="0DD4B020">
            <w:pPr>
              <w:jc w:val="center"/>
              <w:rPr>
                <w:rFonts w:ascii="宋体" w:hAnsi="宋体" w:cs="宋体"/>
                <w:szCs w:val="21"/>
              </w:rPr>
            </w:pPr>
            <w:r>
              <w:rPr>
                <w:rFonts w:hint="eastAsia" w:ascii="宋体" w:hAnsi="宋体" w:cs="宋体"/>
                <w:szCs w:val="21"/>
              </w:rPr>
              <w:t xml:space="preserve"> standard k-ε </w:t>
            </w:r>
            <w:r>
              <w:rPr>
                <w:rFonts w:hint="eastAsia" w:ascii="宋体" w:hAnsi="宋体" w:cs="宋体"/>
                <w:color w:val="333333"/>
                <w:szCs w:val="21"/>
              </w:rPr>
              <w:t>模型</w:t>
            </w:r>
          </w:p>
        </w:tc>
        <w:tc>
          <w:tcPr>
            <w:tcW w:w="6760" w:type="dxa"/>
            <w:tcBorders>
              <w:top w:val="nil"/>
              <w:left w:val="nil"/>
              <w:bottom w:val="single" w:color="auto" w:sz="4" w:space="0"/>
              <w:right w:val="single" w:color="auto" w:sz="4" w:space="0"/>
            </w:tcBorders>
            <w:vAlign w:val="center"/>
          </w:tcPr>
          <w:p w14:paraId="4CA25884">
            <w:pPr>
              <w:rPr>
                <w:rFonts w:ascii="宋体" w:hAnsi="宋体" w:cs="宋体"/>
                <w:szCs w:val="21"/>
              </w:rPr>
            </w:pPr>
            <w:r>
              <w:rPr>
                <w:rFonts w:hint="eastAsia" w:ascii="宋体" w:hAnsi="宋体" w:cs="宋体"/>
                <w:szCs w:val="21"/>
              </w:rPr>
              <w:t>简单的工业流场和热交换模拟，无较大压力梯度、分离、强曲率流，适用于初始的参数研究</w:t>
            </w:r>
          </w:p>
        </w:tc>
      </w:tr>
      <w:tr w14:paraId="6F014C50">
        <w:tblPrEx>
          <w:tblCellMar>
            <w:top w:w="0" w:type="dxa"/>
            <w:left w:w="108" w:type="dxa"/>
            <w:bottom w:w="0" w:type="dxa"/>
            <w:right w:w="108" w:type="dxa"/>
          </w:tblCellMar>
        </w:tblPrEx>
        <w:trPr>
          <w:trHeight w:val="855" w:hRule="atLeast"/>
        </w:trPr>
        <w:tc>
          <w:tcPr>
            <w:tcW w:w="2640" w:type="dxa"/>
            <w:tcBorders>
              <w:top w:val="nil"/>
              <w:left w:val="single" w:color="auto" w:sz="4" w:space="0"/>
              <w:bottom w:val="single" w:color="auto" w:sz="4" w:space="0"/>
              <w:right w:val="single" w:color="auto" w:sz="4" w:space="0"/>
            </w:tcBorders>
            <w:vAlign w:val="center"/>
          </w:tcPr>
          <w:p w14:paraId="0B05DF77">
            <w:pPr>
              <w:jc w:val="center"/>
              <w:rPr>
                <w:rFonts w:ascii="宋体" w:hAnsi="宋体" w:cs="宋体"/>
                <w:b/>
                <w:szCs w:val="21"/>
              </w:rPr>
            </w:pPr>
            <w:r>
              <w:rPr>
                <w:rFonts w:hint="eastAsia" w:ascii="宋体" w:hAnsi="宋体" w:cs="宋体"/>
                <w:b/>
                <w:szCs w:val="21"/>
              </w:rPr>
              <w:t>RNG k-ε</w:t>
            </w:r>
            <w:r>
              <w:rPr>
                <w:rFonts w:hint="eastAsia" w:ascii="宋体" w:hAnsi="宋体" w:cs="宋体"/>
                <w:b/>
                <w:color w:val="333333"/>
                <w:szCs w:val="21"/>
              </w:rPr>
              <w:t>模型</w:t>
            </w:r>
          </w:p>
        </w:tc>
        <w:tc>
          <w:tcPr>
            <w:tcW w:w="6760" w:type="dxa"/>
            <w:tcBorders>
              <w:top w:val="nil"/>
              <w:left w:val="nil"/>
              <w:bottom w:val="single" w:color="auto" w:sz="4" w:space="0"/>
              <w:right w:val="single" w:color="auto" w:sz="4" w:space="0"/>
            </w:tcBorders>
            <w:vAlign w:val="center"/>
          </w:tcPr>
          <w:p w14:paraId="135E8C0F">
            <w:pPr>
              <w:rPr>
                <w:rFonts w:ascii="宋体" w:hAnsi="宋体" w:cs="宋体"/>
                <w:szCs w:val="21"/>
              </w:rPr>
            </w:pPr>
            <w:r>
              <w:rPr>
                <w:rFonts w:hint="eastAsia" w:ascii="宋体" w:hAnsi="宋体" w:cs="宋体"/>
                <w:szCs w:val="21"/>
              </w:rPr>
              <w:t>适合包括快速应变的复杂剪切流、中等旋涡流动、局部转捩流如边界层分离、钝体尾迹涡、大角度失速、房间通风、室外空气流动</w:t>
            </w:r>
          </w:p>
        </w:tc>
      </w:tr>
      <w:tr w14:paraId="2BFA70DE">
        <w:tblPrEx>
          <w:tblCellMar>
            <w:top w:w="0" w:type="dxa"/>
            <w:left w:w="108" w:type="dxa"/>
            <w:bottom w:w="0" w:type="dxa"/>
            <w:right w:w="108" w:type="dxa"/>
          </w:tblCellMar>
        </w:tblPrEx>
        <w:trPr>
          <w:trHeight w:val="570" w:hRule="atLeast"/>
        </w:trPr>
        <w:tc>
          <w:tcPr>
            <w:tcW w:w="2640" w:type="dxa"/>
            <w:tcBorders>
              <w:top w:val="nil"/>
              <w:left w:val="single" w:color="auto" w:sz="4" w:space="0"/>
              <w:bottom w:val="single" w:color="auto" w:sz="4" w:space="0"/>
              <w:right w:val="single" w:color="auto" w:sz="4" w:space="0"/>
            </w:tcBorders>
            <w:vAlign w:val="center"/>
          </w:tcPr>
          <w:p w14:paraId="3845668A">
            <w:pPr>
              <w:jc w:val="center"/>
              <w:rPr>
                <w:rFonts w:ascii="宋体" w:hAnsi="宋体" w:cs="宋体"/>
                <w:szCs w:val="21"/>
              </w:rPr>
            </w:pPr>
            <w:r>
              <w:rPr>
                <w:rFonts w:hint="eastAsia" w:ascii="宋体" w:hAnsi="宋体" w:cs="宋体"/>
                <w:szCs w:val="21"/>
              </w:rPr>
              <w:t xml:space="preserve">realizable k-ε </w:t>
            </w:r>
            <w:r>
              <w:rPr>
                <w:rFonts w:hint="eastAsia" w:ascii="宋体" w:hAnsi="宋体" w:cs="宋体"/>
                <w:color w:val="333333"/>
                <w:szCs w:val="21"/>
              </w:rPr>
              <w:t>模型</w:t>
            </w:r>
          </w:p>
        </w:tc>
        <w:tc>
          <w:tcPr>
            <w:tcW w:w="6760" w:type="dxa"/>
            <w:tcBorders>
              <w:top w:val="nil"/>
              <w:left w:val="nil"/>
              <w:bottom w:val="single" w:color="auto" w:sz="4" w:space="0"/>
              <w:right w:val="single" w:color="auto" w:sz="4" w:space="0"/>
            </w:tcBorders>
            <w:vAlign w:val="center"/>
          </w:tcPr>
          <w:p w14:paraId="72917E5D">
            <w:pPr>
              <w:rPr>
                <w:rFonts w:ascii="宋体" w:hAnsi="宋体" w:cs="宋体"/>
                <w:szCs w:val="21"/>
              </w:rPr>
            </w:pPr>
            <w:r>
              <w:rPr>
                <w:rFonts w:hint="eastAsia" w:ascii="宋体" w:hAnsi="宋体" w:cs="宋体"/>
                <w:szCs w:val="21"/>
              </w:rPr>
              <w:t>旋转流动、强逆压梯度的边界层流动、流动分离和二次流，类似于RNG</w:t>
            </w:r>
          </w:p>
        </w:tc>
      </w:tr>
    </w:tbl>
    <w:p w14:paraId="6DEA2A34">
      <w:pPr>
        <w:pStyle w:val="5"/>
        <w:tabs>
          <w:tab w:val="left" w:pos="360"/>
        </w:tabs>
        <w:ind w:left="0" w:firstLine="0"/>
      </w:pPr>
      <w:bookmarkStart w:id="52" w:name="_Toc8151"/>
      <w:bookmarkStart w:id="53" w:name="_Toc50050020"/>
      <w:bookmarkStart w:id="54" w:name="_Toc451698938"/>
      <w:bookmarkStart w:id="55" w:name="_Toc452108766"/>
      <w:bookmarkStart w:id="56" w:name="_Toc24340"/>
      <w:r>
        <w:rPr>
          <w:rFonts w:hint="eastAsia"/>
        </w:rPr>
        <w:t>边界条件</w:t>
      </w:r>
      <w:bookmarkEnd w:id="52"/>
      <w:bookmarkEnd w:id="53"/>
      <w:bookmarkEnd w:id="54"/>
      <w:bookmarkEnd w:id="55"/>
      <w:bookmarkEnd w:id="56"/>
    </w:p>
    <w:p w14:paraId="6BC09AE7">
      <w:pPr>
        <w:spacing w:line="400" w:lineRule="atLeast"/>
        <w:ind w:firstLine="435"/>
        <w:rPr>
          <w:szCs w:val="21"/>
        </w:rPr>
      </w:pPr>
      <w:r>
        <w:rPr>
          <w:rFonts w:hint="eastAsia"/>
          <w:b/>
          <w:szCs w:val="21"/>
        </w:rPr>
        <w:t>进风窗口</w:t>
      </w:r>
      <w:r>
        <w:rPr>
          <w:rFonts w:hint="eastAsia"/>
          <w:szCs w:val="21"/>
        </w:rPr>
        <w:t>：采用压强边界条件；</w:t>
      </w:r>
    </w:p>
    <w:p w14:paraId="24620B3E">
      <w:pPr>
        <w:spacing w:line="400" w:lineRule="atLeast"/>
        <w:ind w:firstLine="435"/>
        <w:rPr>
          <w:szCs w:val="21"/>
        </w:rPr>
      </w:pPr>
      <w:r>
        <w:rPr>
          <w:rFonts w:hint="eastAsia"/>
          <w:b/>
          <w:szCs w:val="21"/>
        </w:rPr>
        <w:t>排风窗口</w:t>
      </w:r>
      <w:r>
        <w:rPr>
          <w:rFonts w:hint="eastAsia"/>
          <w:szCs w:val="21"/>
        </w:rPr>
        <w:t>：采用压强边界条件；</w:t>
      </w:r>
    </w:p>
    <w:p w14:paraId="30FBDAB1">
      <w:pPr>
        <w:pStyle w:val="5"/>
        <w:tabs>
          <w:tab w:val="left" w:pos="360"/>
        </w:tabs>
        <w:ind w:left="0" w:firstLine="0"/>
      </w:pPr>
      <w:bookmarkStart w:id="57" w:name="_Toc452108767"/>
      <w:bookmarkStart w:id="58" w:name="_Toc50050021"/>
      <w:bookmarkStart w:id="59" w:name="_Toc451698939"/>
      <w:bookmarkStart w:id="60" w:name="_Toc23583"/>
      <w:bookmarkStart w:id="61" w:name="_Toc3061"/>
      <w:r>
        <w:rPr>
          <w:rFonts w:hint="eastAsia"/>
        </w:rPr>
        <w:t>求解计算</w:t>
      </w:r>
      <w:bookmarkEnd w:id="57"/>
      <w:bookmarkEnd w:id="58"/>
      <w:bookmarkEnd w:id="59"/>
      <w:bookmarkEnd w:id="60"/>
      <w:bookmarkEnd w:id="61"/>
    </w:p>
    <w:p w14:paraId="1A3826E4">
      <w:pPr>
        <w:pStyle w:val="3"/>
        <w:numPr>
          <w:ilvl w:val="0"/>
          <w:numId w:val="3"/>
        </w:numPr>
        <w:ind w:left="0" w:firstLine="0" w:firstLineChars="0"/>
        <w:rPr>
          <w:b/>
          <w:lang w:val="en-US"/>
        </w:rPr>
      </w:pPr>
      <w:r>
        <w:rPr>
          <w:rFonts w:hint="eastAsia"/>
          <w:b/>
          <w:lang w:val="en-US"/>
        </w:rPr>
        <w:t>数学模型</w:t>
      </w:r>
    </w:p>
    <w:p w14:paraId="19346F2D">
      <w:pPr>
        <w:pStyle w:val="3"/>
        <w:ind w:firstLine="420"/>
        <w:rPr>
          <w:lang w:val="en-US"/>
        </w:rPr>
      </w:pPr>
      <w:r>
        <w:rPr>
          <w:rFonts w:hint="eastAsia"/>
          <w:lang w:val="en-US"/>
        </w:rPr>
        <w:t>本项目采用CFD（计算流体力学）方法对风场进行求解，即在所分析的计算域内建立流体流动的质量守恒、动量守恒和能量守恒建立数学控制方程，其一般形式如下所示：</w:t>
      </w:r>
    </w:p>
    <w:p w14:paraId="40D8F103">
      <w:pPr>
        <w:pStyle w:val="3"/>
        <w:ind w:firstLine="525" w:firstLineChars="250"/>
        <w:jc w:val="center"/>
        <w:rPr>
          <w:lang w:val="en-US"/>
        </w:rPr>
      </w:pPr>
      <w:r>
        <w:rPr>
          <w:lang w:val="en-US"/>
        </w:rPr>
        <w:drawing>
          <wp:inline distT="0" distB="0" distL="0" distR="0">
            <wp:extent cx="2381250" cy="400050"/>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Picture 1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381250" cy="400050"/>
                    </a:xfrm>
                    <a:prstGeom prst="rect">
                      <a:avLst/>
                    </a:prstGeom>
                    <a:noFill/>
                    <a:ln>
                      <a:noFill/>
                    </a:ln>
                  </pic:spPr>
                </pic:pic>
              </a:graphicData>
            </a:graphic>
          </wp:inline>
        </w:drawing>
      </w:r>
    </w:p>
    <w:p w14:paraId="4F7ACC4E">
      <w:pPr>
        <w:pStyle w:val="3"/>
        <w:ind w:firstLine="525" w:firstLineChars="250"/>
        <w:rPr>
          <w:lang w:val="en-US"/>
        </w:rPr>
      </w:pPr>
      <w:r>
        <w:rPr>
          <w:rFonts w:hint="eastAsia"/>
          <w:lang w:val="en-US"/>
        </w:rPr>
        <w:t>该式中的φ可以是速度、湍流动能、湍流耗散率以及温度等物理量，参照下表</w:t>
      </w:r>
    </w:p>
    <w:p w14:paraId="56A32AB0">
      <w:pPr>
        <w:pStyle w:val="3"/>
        <w:ind w:firstLine="0" w:firstLineChars="0"/>
        <w:jc w:val="center"/>
        <w:rPr>
          <w:rFonts w:ascii="黑体" w:hAnsi="黑体" w:eastAsia="黑体"/>
          <w:sz w:val="20"/>
          <w:szCs w:val="20"/>
        </w:rPr>
      </w:pPr>
      <w:bookmarkStart w:id="62" w:name="_Ref237071533"/>
      <w:r>
        <w:rPr>
          <w:rFonts w:hint="eastAsia" w:ascii="黑体" w:hAnsi="黑体" w:eastAsia="黑体"/>
          <w:sz w:val="20"/>
          <w:szCs w:val="20"/>
        </w:rPr>
        <w:t>表</w:t>
      </w:r>
      <w:r>
        <w:rPr>
          <w:rFonts w:ascii="黑体" w:hAnsi="黑体" w:eastAsia="黑体"/>
          <w:sz w:val="20"/>
          <w:szCs w:val="20"/>
        </w:rPr>
        <w:t xml:space="preserve"> </w:t>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STYLEREF 2 \s</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hint="eastAsia" w:ascii="黑体" w:hAnsi="黑体" w:eastAsia="黑体"/>
          <w:sz w:val="20"/>
          <w:szCs w:val="20"/>
        </w:rPr>
        <w:t>5.1</w:t>
      </w:r>
      <w:r>
        <w:rPr>
          <w:rFonts w:ascii="黑体" w:hAnsi="黑体" w:eastAsia="黑体"/>
          <w:sz w:val="20"/>
          <w:szCs w:val="20"/>
        </w:rPr>
        <w:fldChar w:fldCharType="end"/>
      </w:r>
      <w:r>
        <w:rPr>
          <w:rFonts w:ascii="黑体" w:hAnsi="黑体" w:eastAsia="黑体"/>
          <w:sz w:val="20"/>
          <w:szCs w:val="20"/>
        </w:rPr>
        <w:noBreakHyphen/>
      </w:r>
      <w:r>
        <w:rPr>
          <w:rFonts w:ascii="黑体" w:hAnsi="黑体" w:eastAsia="黑体"/>
          <w:sz w:val="20"/>
          <w:szCs w:val="20"/>
        </w:rPr>
        <w:fldChar w:fldCharType="begin"/>
      </w:r>
      <w:r>
        <w:rPr>
          <w:rFonts w:ascii="黑体" w:hAnsi="黑体" w:eastAsia="黑体"/>
          <w:sz w:val="20"/>
          <w:szCs w:val="20"/>
        </w:rPr>
        <w:instrText xml:space="preserve"> SEQ 表 \* ARABIC \s 2 </w:instrText>
      </w:r>
      <w:r>
        <w:rPr>
          <w:rFonts w:ascii="黑体" w:hAnsi="黑体" w:eastAsia="黑体"/>
          <w:sz w:val="20"/>
          <w:szCs w:val="20"/>
        </w:rPr>
        <w:fldChar w:fldCharType="separate"/>
      </w:r>
      <w:r>
        <w:rPr>
          <w:rFonts w:ascii="黑体" w:hAnsi="黑体" w:eastAsia="黑体"/>
          <w:sz w:val="20"/>
          <w:szCs w:val="20"/>
        </w:rPr>
        <w:t>1</w:t>
      </w:r>
      <w:r>
        <w:rPr>
          <w:rFonts w:ascii="黑体" w:hAnsi="黑体" w:eastAsia="黑体"/>
          <w:sz w:val="20"/>
          <w:szCs w:val="20"/>
        </w:rPr>
        <w:fldChar w:fldCharType="end"/>
      </w:r>
      <w:bookmarkEnd w:id="62"/>
      <w:r>
        <w:rPr>
          <w:rFonts w:hint="eastAsia" w:ascii="黑体" w:hAnsi="黑体" w:eastAsia="黑体"/>
          <w:sz w:val="20"/>
          <w:szCs w:val="20"/>
        </w:rPr>
        <w:t xml:space="preserve"> </w:t>
      </w:r>
      <w:bookmarkStart w:id="63" w:name="_Ref225175618"/>
      <w:r>
        <w:rPr>
          <w:rFonts w:hint="eastAsia" w:ascii="黑体" w:hAnsi="黑体" w:eastAsia="黑体"/>
          <w:sz w:val="20"/>
          <w:szCs w:val="20"/>
        </w:rPr>
        <w:t>计算流体力学的控制方程</w:t>
      </w:r>
      <w:bookmarkEnd w:id="63"/>
    </w:p>
    <w:tbl>
      <w:tblPr>
        <w:tblStyle w:val="22"/>
        <w:tblW w:w="8820" w:type="dxa"/>
        <w:tblInd w:w="55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170"/>
        <w:gridCol w:w="558"/>
        <w:gridCol w:w="1476"/>
        <w:gridCol w:w="5616"/>
      </w:tblGrid>
      <w:tr w14:paraId="30444DC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blHeader/>
        </w:trPr>
        <w:tc>
          <w:tcPr>
            <w:tcW w:w="1170" w:type="dxa"/>
            <w:tcBorders>
              <w:top w:val="single" w:color="auto" w:sz="4" w:space="0"/>
              <w:left w:val="single" w:color="auto" w:sz="4" w:space="0"/>
              <w:bottom w:val="single" w:color="auto" w:sz="6" w:space="0"/>
              <w:right w:val="single" w:color="auto" w:sz="6" w:space="0"/>
            </w:tcBorders>
            <w:shd w:val="clear" w:color="auto" w:fill="C0C0C0"/>
            <w:vAlign w:val="center"/>
          </w:tcPr>
          <w:p w14:paraId="1D3C19D2">
            <w:pPr>
              <w:widowControl w:val="0"/>
              <w:jc w:val="both"/>
              <w:rPr>
                <w:rFonts w:cs="Calibri"/>
                <w:b/>
                <w:bCs/>
                <w:kern w:val="2"/>
                <w:szCs w:val="24"/>
              </w:rPr>
            </w:pPr>
            <w:r>
              <w:rPr>
                <w:rFonts w:hint="eastAsia"/>
                <w:b/>
                <w:bCs/>
                <w:szCs w:val="24"/>
              </w:rPr>
              <w:t>名称</w:t>
            </w:r>
          </w:p>
        </w:tc>
        <w:tc>
          <w:tcPr>
            <w:tcW w:w="558" w:type="dxa"/>
            <w:tcBorders>
              <w:top w:val="single" w:color="auto" w:sz="4" w:space="0"/>
              <w:left w:val="single" w:color="auto" w:sz="6" w:space="0"/>
              <w:bottom w:val="single" w:color="auto" w:sz="6" w:space="0"/>
              <w:right w:val="single" w:color="auto" w:sz="6" w:space="0"/>
            </w:tcBorders>
            <w:shd w:val="clear" w:color="auto" w:fill="C0C0C0"/>
            <w:vAlign w:val="center"/>
          </w:tcPr>
          <w:p w14:paraId="23DE26AA">
            <w:pPr>
              <w:widowControl w:val="0"/>
              <w:jc w:val="both"/>
              <w:rPr>
                <w:rFonts w:cs="Calibri"/>
                <w:b/>
                <w:bCs/>
                <w:kern w:val="2"/>
                <w:szCs w:val="24"/>
              </w:rPr>
            </w:pPr>
            <w:r>
              <w:rPr>
                <w:rFonts w:hint="eastAsia"/>
                <w:b/>
                <w:bCs/>
                <w:szCs w:val="24"/>
              </w:rPr>
              <w:t>变量</w:t>
            </w:r>
          </w:p>
        </w:tc>
        <w:tc>
          <w:tcPr>
            <w:tcW w:w="1476" w:type="dxa"/>
            <w:tcBorders>
              <w:top w:val="single" w:color="auto" w:sz="4" w:space="0"/>
              <w:left w:val="single" w:color="auto" w:sz="6" w:space="0"/>
              <w:bottom w:val="single" w:color="auto" w:sz="6" w:space="0"/>
              <w:right w:val="single" w:color="auto" w:sz="6" w:space="0"/>
            </w:tcBorders>
            <w:shd w:val="clear" w:color="auto" w:fill="C0C0C0"/>
            <w:vAlign w:val="center"/>
          </w:tcPr>
          <w:p w14:paraId="106C9B55">
            <w:pPr>
              <w:widowControl w:val="0"/>
              <w:jc w:val="both"/>
              <w:rPr>
                <w:rFonts w:cs="Calibri"/>
                <w:kern w:val="2"/>
                <w:szCs w:val="24"/>
              </w:rPr>
            </w:pPr>
            <w:r>
              <w:rPr>
                <w:position w:val="-14"/>
                <w:szCs w:val="24"/>
                <w:lang w:val="en-US"/>
              </w:rPr>
              <w:drawing>
                <wp:inline distT="0" distB="0" distL="0" distR="0">
                  <wp:extent cx="180975" cy="238125"/>
                  <wp:effectExtent l="0" t="0" r="9525" b="9525"/>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0975" cy="238125"/>
                          </a:xfrm>
                          <a:prstGeom prst="rect">
                            <a:avLst/>
                          </a:prstGeom>
                          <a:noFill/>
                          <a:ln>
                            <a:noFill/>
                          </a:ln>
                        </pic:spPr>
                      </pic:pic>
                    </a:graphicData>
                  </a:graphic>
                </wp:inline>
              </w:drawing>
            </w:r>
          </w:p>
        </w:tc>
        <w:tc>
          <w:tcPr>
            <w:tcW w:w="5616" w:type="dxa"/>
            <w:tcBorders>
              <w:top w:val="single" w:color="auto" w:sz="4" w:space="0"/>
              <w:left w:val="single" w:color="auto" w:sz="6" w:space="0"/>
              <w:bottom w:val="single" w:color="auto" w:sz="6" w:space="0"/>
              <w:right w:val="single" w:color="auto" w:sz="4" w:space="0"/>
            </w:tcBorders>
            <w:shd w:val="clear" w:color="auto" w:fill="C0C0C0"/>
            <w:vAlign w:val="center"/>
          </w:tcPr>
          <w:p w14:paraId="6FA4E3C6">
            <w:pPr>
              <w:widowControl w:val="0"/>
              <w:jc w:val="both"/>
              <w:rPr>
                <w:rFonts w:cs="Calibri"/>
                <w:kern w:val="2"/>
                <w:szCs w:val="24"/>
              </w:rPr>
            </w:pPr>
            <w:r>
              <w:rPr>
                <w:position w:val="-14"/>
                <w:szCs w:val="24"/>
                <w:lang w:val="en-US"/>
              </w:rPr>
              <w:drawing>
                <wp:inline distT="0" distB="0" distL="0" distR="0">
                  <wp:extent cx="190500" cy="238125"/>
                  <wp:effectExtent l="0" t="0" r="0" b="9525"/>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Picture 1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90500" cy="238125"/>
                          </a:xfrm>
                          <a:prstGeom prst="rect">
                            <a:avLst/>
                          </a:prstGeom>
                          <a:noFill/>
                          <a:ln>
                            <a:noFill/>
                          </a:ln>
                        </pic:spPr>
                      </pic:pic>
                    </a:graphicData>
                  </a:graphic>
                </wp:inline>
              </w:drawing>
            </w:r>
          </w:p>
        </w:tc>
      </w:tr>
      <w:tr w14:paraId="0BF32D3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61B5D93A">
            <w:pPr>
              <w:widowControl w:val="0"/>
              <w:jc w:val="both"/>
              <w:rPr>
                <w:rFonts w:cs="Calibri"/>
                <w:kern w:val="2"/>
                <w:szCs w:val="24"/>
              </w:rPr>
            </w:pPr>
            <w:r>
              <w:rPr>
                <w:rFonts w:hint="eastAsia"/>
                <w:szCs w:val="24"/>
              </w:rPr>
              <w:t>连续性方程</w:t>
            </w:r>
          </w:p>
        </w:tc>
        <w:tc>
          <w:tcPr>
            <w:tcW w:w="558" w:type="dxa"/>
            <w:tcBorders>
              <w:top w:val="single" w:color="auto" w:sz="6" w:space="0"/>
              <w:left w:val="single" w:color="auto" w:sz="6" w:space="0"/>
              <w:bottom w:val="single" w:color="auto" w:sz="6" w:space="0"/>
              <w:right w:val="single" w:color="auto" w:sz="6" w:space="0"/>
            </w:tcBorders>
            <w:vAlign w:val="center"/>
          </w:tcPr>
          <w:p w14:paraId="7A3F064D">
            <w:pPr>
              <w:widowControl w:val="0"/>
              <w:jc w:val="both"/>
              <w:rPr>
                <w:rFonts w:cs="Calibri"/>
                <w:kern w:val="2"/>
                <w:szCs w:val="24"/>
              </w:rPr>
            </w:pPr>
            <w:r>
              <w:rPr>
                <w:szCs w:val="24"/>
              </w:rPr>
              <w:t>1</w:t>
            </w:r>
          </w:p>
        </w:tc>
        <w:tc>
          <w:tcPr>
            <w:tcW w:w="1476" w:type="dxa"/>
            <w:tcBorders>
              <w:top w:val="single" w:color="auto" w:sz="6" w:space="0"/>
              <w:left w:val="single" w:color="auto" w:sz="6" w:space="0"/>
              <w:bottom w:val="single" w:color="auto" w:sz="6" w:space="0"/>
              <w:right w:val="single" w:color="auto" w:sz="6" w:space="0"/>
            </w:tcBorders>
            <w:vAlign w:val="center"/>
          </w:tcPr>
          <w:p w14:paraId="55D928BD">
            <w:pPr>
              <w:widowControl w:val="0"/>
              <w:jc w:val="both"/>
              <w:rPr>
                <w:rFonts w:cs="Calibri"/>
                <w:kern w:val="2"/>
                <w:szCs w:val="24"/>
              </w:rPr>
            </w:pPr>
            <w:r>
              <w:rPr>
                <w:szCs w:val="24"/>
              </w:rPr>
              <w:t>0</w:t>
            </w:r>
          </w:p>
        </w:tc>
        <w:tc>
          <w:tcPr>
            <w:tcW w:w="5616" w:type="dxa"/>
            <w:tcBorders>
              <w:top w:val="single" w:color="auto" w:sz="6" w:space="0"/>
              <w:left w:val="single" w:color="auto" w:sz="6" w:space="0"/>
              <w:bottom w:val="single" w:color="auto" w:sz="6" w:space="0"/>
              <w:right w:val="single" w:color="auto" w:sz="4" w:space="0"/>
            </w:tcBorders>
            <w:vAlign w:val="center"/>
          </w:tcPr>
          <w:p w14:paraId="7CF705E7">
            <w:pPr>
              <w:widowControl w:val="0"/>
              <w:jc w:val="both"/>
              <w:rPr>
                <w:rFonts w:cs="Calibri"/>
                <w:kern w:val="2"/>
                <w:szCs w:val="24"/>
              </w:rPr>
            </w:pPr>
            <w:r>
              <w:rPr>
                <w:szCs w:val="24"/>
              </w:rPr>
              <w:t>0</w:t>
            </w:r>
          </w:p>
        </w:tc>
      </w:tr>
      <w:tr w14:paraId="1D0FB2D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6C088ED4">
            <w:pPr>
              <w:widowControl w:val="0"/>
              <w:jc w:val="both"/>
              <w:rPr>
                <w:rFonts w:cs="Calibri"/>
                <w:kern w:val="2"/>
                <w:szCs w:val="24"/>
              </w:rPr>
            </w:pPr>
            <w:r>
              <w:rPr>
                <w:szCs w:val="24"/>
              </w:rPr>
              <w:t xml:space="preserve">x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0CC932D6">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42875"/>
                  <wp:effectExtent l="0" t="0" r="9525" b="952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Picture 1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23825"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4B361EBD">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33425" cy="219075"/>
                  <wp:effectExtent l="0" t="0" r="9525" b="9525"/>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Picture 10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73342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0F4DC2FE">
            <w:pPr>
              <w:widowControl w:val="0"/>
              <w:spacing w:line="480" w:lineRule="auto"/>
              <w:jc w:val="both"/>
              <w:rPr>
                <w:rFonts w:cs="Calibri"/>
                <w:color w:val="000000"/>
                <w:kern w:val="2"/>
                <w:sz w:val="24"/>
                <w:szCs w:val="24"/>
              </w:rPr>
            </w:pPr>
            <w:r>
              <w:rPr>
                <w:color w:val="000000"/>
                <w:position w:val="-28"/>
                <w:sz w:val="24"/>
                <w:szCs w:val="24"/>
                <w:lang w:val="en-US"/>
              </w:rPr>
              <w:drawing>
                <wp:inline distT="0" distB="0" distL="0" distR="0">
                  <wp:extent cx="3076575" cy="428625"/>
                  <wp:effectExtent l="0" t="0" r="9525" b="9525"/>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Picture 1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076575" cy="428625"/>
                          </a:xfrm>
                          <a:prstGeom prst="rect">
                            <a:avLst/>
                          </a:prstGeom>
                          <a:noFill/>
                          <a:ln>
                            <a:noFill/>
                          </a:ln>
                        </pic:spPr>
                      </pic:pic>
                    </a:graphicData>
                  </a:graphic>
                </wp:inline>
              </w:drawing>
            </w:r>
          </w:p>
        </w:tc>
      </w:tr>
      <w:tr w14:paraId="10AB42B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3C56BCD9">
            <w:pPr>
              <w:widowControl w:val="0"/>
              <w:jc w:val="both"/>
              <w:rPr>
                <w:rFonts w:cs="Calibri"/>
                <w:kern w:val="2"/>
                <w:szCs w:val="24"/>
              </w:rPr>
            </w:pPr>
            <w:r>
              <w:rPr>
                <w:szCs w:val="24"/>
              </w:rPr>
              <w:t xml:space="preserve">y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188DB0EB">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14300" cy="14287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300"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734DEECE">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14375" cy="219075"/>
                  <wp:effectExtent l="0" t="0" r="9525" b="952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71437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0BE1E399">
            <w:pPr>
              <w:widowControl w:val="0"/>
              <w:spacing w:line="480" w:lineRule="auto"/>
              <w:jc w:val="both"/>
              <w:rPr>
                <w:rFonts w:cs="Calibri"/>
                <w:color w:val="000000"/>
                <w:kern w:val="2"/>
                <w:sz w:val="24"/>
                <w:szCs w:val="24"/>
              </w:rPr>
            </w:pPr>
            <w:r>
              <w:rPr>
                <w:color w:val="000000"/>
                <w:position w:val="-30"/>
                <w:sz w:val="24"/>
                <w:szCs w:val="24"/>
                <w:lang w:val="en-US"/>
              </w:rPr>
              <w:drawing>
                <wp:inline distT="0" distB="0" distL="0" distR="0">
                  <wp:extent cx="3086100" cy="45720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10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086100" cy="457200"/>
                          </a:xfrm>
                          <a:prstGeom prst="rect">
                            <a:avLst/>
                          </a:prstGeom>
                          <a:noFill/>
                          <a:ln>
                            <a:noFill/>
                          </a:ln>
                        </pic:spPr>
                      </pic:pic>
                    </a:graphicData>
                  </a:graphic>
                </wp:inline>
              </w:drawing>
            </w:r>
          </w:p>
        </w:tc>
      </w:tr>
      <w:tr w14:paraId="7A93F02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10A08AAE">
            <w:pPr>
              <w:widowControl w:val="0"/>
              <w:jc w:val="both"/>
              <w:rPr>
                <w:rFonts w:cs="Calibri"/>
                <w:kern w:val="2"/>
                <w:szCs w:val="24"/>
              </w:rPr>
            </w:pPr>
            <w:r>
              <w:rPr>
                <w:szCs w:val="24"/>
              </w:rPr>
              <w:t xml:space="preserve">z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42CF6A83">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71450" cy="1143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Picture 10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71450" cy="114300"/>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77345CD0">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14375" cy="219075"/>
                  <wp:effectExtent l="0" t="0" r="9525" b="952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71437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2B0E2077">
            <w:pPr>
              <w:widowControl w:val="0"/>
              <w:spacing w:line="480" w:lineRule="auto"/>
              <w:jc w:val="both"/>
              <w:rPr>
                <w:rFonts w:cs="Calibri"/>
                <w:color w:val="000000"/>
                <w:kern w:val="2"/>
                <w:sz w:val="24"/>
                <w:szCs w:val="24"/>
              </w:rPr>
            </w:pPr>
            <w:r>
              <w:rPr>
                <w:color w:val="000000"/>
                <w:position w:val="-28"/>
                <w:sz w:val="24"/>
                <w:szCs w:val="24"/>
                <w:lang w:val="en-US"/>
              </w:rPr>
              <w:drawing>
                <wp:inline distT="0" distB="0" distL="0" distR="0">
                  <wp:extent cx="3390900" cy="428625"/>
                  <wp:effectExtent l="0" t="0" r="0" b="9525"/>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Picture 10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390900" cy="428625"/>
                          </a:xfrm>
                          <a:prstGeom prst="rect">
                            <a:avLst/>
                          </a:prstGeom>
                          <a:noFill/>
                          <a:ln>
                            <a:noFill/>
                          </a:ln>
                        </pic:spPr>
                      </pic:pic>
                    </a:graphicData>
                  </a:graphic>
                </wp:inline>
              </w:drawing>
            </w:r>
          </w:p>
        </w:tc>
      </w:tr>
      <w:tr w14:paraId="79821AA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0B8C8041">
            <w:pPr>
              <w:rPr>
                <w:rFonts w:cs="Calibri"/>
                <w:kern w:val="2"/>
                <w:szCs w:val="24"/>
              </w:rPr>
            </w:pPr>
            <w:r>
              <w:rPr>
                <w:rFonts w:hint="eastAsia"/>
                <w:szCs w:val="24"/>
              </w:rPr>
              <w:t>湍流</w:t>
            </w:r>
          </w:p>
          <w:p w14:paraId="14D69A29">
            <w:pPr>
              <w:widowControl w:val="0"/>
              <w:jc w:val="both"/>
              <w:rPr>
                <w:rFonts w:cs="Calibri"/>
                <w:kern w:val="2"/>
                <w:szCs w:val="24"/>
              </w:rPr>
            </w:pPr>
            <w:r>
              <w:rPr>
                <w:rFonts w:hint="eastAsia"/>
                <w:szCs w:val="24"/>
              </w:rPr>
              <w:t>动能</w:t>
            </w:r>
          </w:p>
        </w:tc>
        <w:tc>
          <w:tcPr>
            <w:tcW w:w="558" w:type="dxa"/>
            <w:tcBorders>
              <w:top w:val="single" w:color="auto" w:sz="6" w:space="0"/>
              <w:left w:val="single" w:color="auto" w:sz="6" w:space="0"/>
              <w:bottom w:val="single" w:color="auto" w:sz="6" w:space="0"/>
              <w:right w:val="single" w:color="auto" w:sz="6" w:space="0"/>
            </w:tcBorders>
            <w:vAlign w:val="center"/>
          </w:tcPr>
          <w:p w14:paraId="75518841">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80975"/>
                  <wp:effectExtent l="0" t="0" r="9525"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icture 10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23825" cy="1809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457EEF74">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419100" cy="238125"/>
                  <wp:effectExtent l="0" t="0" r="0" b="9525"/>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19100" cy="2381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4C15DB09">
            <w:pPr>
              <w:widowControl w:val="0"/>
              <w:spacing w:line="480" w:lineRule="auto"/>
              <w:jc w:val="both"/>
              <w:rPr>
                <w:rFonts w:cs="Calibri"/>
                <w:color w:val="000000"/>
                <w:kern w:val="2"/>
                <w:sz w:val="24"/>
                <w:szCs w:val="24"/>
              </w:rPr>
            </w:pPr>
            <w:r>
              <w:rPr>
                <w:color w:val="000000"/>
                <w:position w:val="-12"/>
                <w:sz w:val="24"/>
                <w:szCs w:val="24"/>
                <w:lang w:val="en-US"/>
              </w:rPr>
              <w:drawing>
                <wp:inline distT="0" distB="0" distL="0" distR="0">
                  <wp:extent cx="866775" cy="228600"/>
                  <wp:effectExtent l="0" t="0" r="9525"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866775" cy="228600"/>
                          </a:xfrm>
                          <a:prstGeom prst="rect">
                            <a:avLst/>
                          </a:prstGeom>
                          <a:noFill/>
                          <a:ln>
                            <a:noFill/>
                          </a:ln>
                        </pic:spPr>
                      </pic:pic>
                    </a:graphicData>
                  </a:graphic>
                </wp:inline>
              </w:drawing>
            </w:r>
          </w:p>
        </w:tc>
      </w:tr>
      <w:tr w14:paraId="36C261D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1419B37C">
            <w:pPr>
              <w:rPr>
                <w:rFonts w:cs="Calibri"/>
                <w:kern w:val="2"/>
                <w:szCs w:val="24"/>
              </w:rPr>
            </w:pPr>
            <w:r>
              <w:rPr>
                <w:rFonts w:hint="eastAsia"/>
                <w:szCs w:val="24"/>
              </w:rPr>
              <w:t>湍流</w:t>
            </w:r>
          </w:p>
          <w:p w14:paraId="0772E749">
            <w:pPr>
              <w:widowControl w:val="0"/>
              <w:jc w:val="both"/>
              <w:rPr>
                <w:rFonts w:cs="Calibri"/>
                <w:kern w:val="2"/>
                <w:szCs w:val="24"/>
              </w:rPr>
            </w:pPr>
            <w:r>
              <w:rPr>
                <w:rFonts w:hint="eastAsia"/>
                <w:szCs w:val="24"/>
              </w:rPr>
              <w:t>耗散</w:t>
            </w:r>
          </w:p>
        </w:tc>
        <w:tc>
          <w:tcPr>
            <w:tcW w:w="558" w:type="dxa"/>
            <w:tcBorders>
              <w:top w:val="single" w:color="auto" w:sz="6" w:space="0"/>
              <w:left w:val="single" w:color="auto" w:sz="6" w:space="0"/>
              <w:bottom w:val="single" w:color="auto" w:sz="6" w:space="0"/>
              <w:right w:val="single" w:color="auto" w:sz="6" w:space="0"/>
            </w:tcBorders>
            <w:vAlign w:val="center"/>
          </w:tcPr>
          <w:p w14:paraId="0B0B8022">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42875"/>
                  <wp:effectExtent l="0" t="0" r="9525" b="952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9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23825"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3494D9EB">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409575" cy="238125"/>
                  <wp:effectExtent l="0" t="0" r="9525"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Picture 9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09575" cy="2381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614A7F57">
            <w:pPr>
              <w:widowControl w:val="0"/>
              <w:spacing w:line="480" w:lineRule="auto"/>
              <w:jc w:val="both"/>
              <w:rPr>
                <w:rFonts w:cs="Calibri"/>
                <w:color w:val="000000"/>
                <w:kern w:val="2"/>
                <w:sz w:val="24"/>
                <w:szCs w:val="24"/>
              </w:rPr>
            </w:pPr>
            <w:r>
              <w:rPr>
                <w:color w:val="000000"/>
                <w:position w:val="-24"/>
                <w:sz w:val="24"/>
                <w:szCs w:val="24"/>
                <w:lang w:val="en-US"/>
              </w:rPr>
              <w:drawing>
                <wp:inline distT="0" distB="0" distL="0" distR="0">
                  <wp:extent cx="2171700" cy="41910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9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171700" cy="419100"/>
                          </a:xfrm>
                          <a:prstGeom prst="rect">
                            <a:avLst/>
                          </a:prstGeom>
                          <a:noFill/>
                          <a:ln>
                            <a:noFill/>
                          </a:ln>
                        </pic:spPr>
                      </pic:pic>
                    </a:graphicData>
                  </a:graphic>
                </wp:inline>
              </w:drawing>
            </w:r>
          </w:p>
        </w:tc>
      </w:tr>
      <w:tr w14:paraId="2BC0C98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4" w:space="0"/>
              <w:right w:val="single" w:color="auto" w:sz="6" w:space="0"/>
            </w:tcBorders>
            <w:vAlign w:val="center"/>
          </w:tcPr>
          <w:p w14:paraId="558AE3A9">
            <w:pPr>
              <w:widowControl w:val="0"/>
              <w:jc w:val="both"/>
              <w:rPr>
                <w:rFonts w:cs="Calibri"/>
                <w:kern w:val="2"/>
                <w:szCs w:val="24"/>
              </w:rPr>
            </w:pPr>
            <w:r>
              <w:rPr>
                <w:rFonts w:hint="eastAsia"/>
                <w:szCs w:val="24"/>
              </w:rPr>
              <w:t>温度</w:t>
            </w:r>
          </w:p>
        </w:tc>
        <w:tc>
          <w:tcPr>
            <w:tcW w:w="558" w:type="dxa"/>
            <w:tcBorders>
              <w:top w:val="single" w:color="auto" w:sz="6" w:space="0"/>
              <w:left w:val="single" w:color="auto" w:sz="6" w:space="0"/>
              <w:bottom w:val="single" w:color="auto" w:sz="4" w:space="0"/>
              <w:right w:val="single" w:color="auto" w:sz="6" w:space="0"/>
            </w:tcBorders>
            <w:vAlign w:val="center"/>
          </w:tcPr>
          <w:p w14:paraId="355C77B9">
            <w:pPr>
              <w:widowControl w:val="0"/>
              <w:spacing w:line="480" w:lineRule="auto"/>
              <w:jc w:val="both"/>
              <w:rPr>
                <w:rFonts w:cs="Calibri"/>
                <w:color w:val="000000"/>
                <w:kern w:val="2"/>
                <w:sz w:val="24"/>
                <w:szCs w:val="24"/>
              </w:rPr>
            </w:pPr>
            <w:r>
              <w:rPr>
                <w:color w:val="000000"/>
                <w:position w:val="-4"/>
                <w:sz w:val="24"/>
                <w:szCs w:val="24"/>
                <w:lang w:val="en-US"/>
              </w:rPr>
              <w:drawing>
                <wp:inline distT="0" distB="0" distL="0" distR="0">
                  <wp:extent cx="142875" cy="161925"/>
                  <wp:effectExtent l="0" t="0" r="9525" b="952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9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4" w:space="0"/>
              <w:right w:val="single" w:color="auto" w:sz="6" w:space="0"/>
            </w:tcBorders>
            <w:vAlign w:val="center"/>
          </w:tcPr>
          <w:p w14:paraId="373DF9D8">
            <w:pPr>
              <w:widowControl w:val="0"/>
              <w:spacing w:line="480" w:lineRule="auto"/>
              <w:jc w:val="both"/>
              <w:rPr>
                <w:rFonts w:cs="Calibri"/>
                <w:color w:val="000000"/>
                <w:kern w:val="2"/>
                <w:sz w:val="24"/>
                <w:szCs w:val="24"/>
              </w:rPr>
            </w:pPr>
            <w:r>
              <w:rPr>
                <w:color w:val="000000"/>
                <w:position w:val="-30"/>
                <w:sz w:val="24"/>
                <w:szCs w:val="24"/>
                <w:lang w:val="en-US"/>
              </w:rPr>
              <w:drawing>
                <wp:inline distT="0" distB="0" distL="0" distR="0">
                  <wp:extent cx="542925" cy="428625"/>
                  <wp:effectExtent l="0" t="0" r="0" b="9525"/>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9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42925" cy="4286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4" w:space="0"/>
              <w:right w:val="single" w:color="auto" w:sz="4" w:space="0"/>
            </w:tcBorders>
            <w:vAlign w:val="center"/>
          </w:tcPr>
          <w:p w14:paraId="6821826D">
            <w:pPr>
              <w:widowControl w:val="0"/>
              <w:spacing w:line="480" w:lineRule="auto"/>
              <w:jc w:val="both"/>
              <w:rPr>
                <w:rFonts w:cs="Calibri"/>
                <w:color w:val="000000"/>
                <w:kern w:val="2"/>
                <w:sz w:val="24"/>
                <w:szCs w:val="24"/>
              </w:rPr>
            </w:pPr>
            <w:r>
              <w:rPr>
                <w:color w:val="000000"/>
                <w:position w:val="-10"/>
                <w:sz w:val="24"/>
                <w:szCs w:val="24"/>
                <w:lang w:val="en-US"/>
              </w:rPr>
              <w:drawing>
                <wp:inline distT="0" distB="0" distL="0" distR="0">
                  <wp:extent cx="190500" cy="219075"/>
                  <wp:effectExtent l="0" t="0" r="0" b="952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9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90500" cy="219075"/>
                          </a:xfrm>
                          <a:prstGeom prst="rect">
                            <a:avLst/>
                          </a:prstGeom>
                          <a:noFill/>
                          <a:ln>
                            <a:noFill/>
                          </a:ln>
                        </pic:spPr>
                      </pic:pic>
                    </a:graphicData>
                  </a:graphic>
                </wp:inline>
              </w:drawing>
            </w:r>
          </w:p>
        </w:tc>
      </w:tr>
    </w:tbl>
    <w:p w14:paraId="65C9F819">
      <w:pPr>
        <w:pStyle w:val="3"/>
        <w:ind w:firstLine="525" w:firstLineChars="250"/>
        <w:rPr>
          <w:lang w:val="en-US"/>
        </w:rPr>
      </w:pPr>
      <w:r>
        <w:rPr>
          <w:rFonts w:hint="eastAsia"/>
          <w:lang w:val="en-US"/>
        </w:rPr>
        <w:t>上表中的常数如下：</w:t>
      </w:r>
    </w:p>
    <w:p w14:paraId="5CC1D1FD">
      <w:pPr>
        <w:pStyle w:val="3"/>
        <w:ind w:left="450" w:firstLine="73" w:firstLineChars="35"/>
        <w:rPr>
          <w:lang w:val="en-US"/>
        </w:rPr>
      </w:pPr>
      <w:r>
        <w:rPr>
          <w:lang w:val="en-US"/>
        </w:rPr>
        <w:drawing>
          <wp:inline distT="0" distB="0" distL="0" distR="0">
            <wp:extent cx="657225" cy="238125"/>
            <wp:effectExtent l="0" t="0" r="9525"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9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657225" cy="2381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09625" cy="276225"/>
            <wp:effectExtent l="0" t="0" r="9525"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809625" cy="2762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266825" cy="504825"/>
            <wp:effectExtent l="0" t="0" r="9525" b="952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9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266825" cy="5048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076325" cy="428625"/>
            <wp:effectExtent l="0" t="0" r="0"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8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1076325" cy="4286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38200" cy="4191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8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838200" cy="4191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09625" cy="238125"/>
            <wp:effectExtent l="0" t="0" r="9525"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8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809625" cy="2381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286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8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6477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85800" cy="2286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8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6858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371600" cy="504825"/>
            <wp:effectExtent l="0" t="0" r="0"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Picture 8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1371600" cy="5048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19075"/>
            <wp:effectExtent l="0" t="0" r="0"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Picture 8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647700" cy="21907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581025" cy="228600"/>
            <wp:effectExtent l="0" t="0" r="9525"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81025" cy="228600"/>
                    </a:xfrm>
                    <a:prstGeom prst="rect">
                      <a:avLst/>
                    </a:prstGeom>
                    <a:noFill/>
                    <a:ln>
                      <a:noFill/>
                    </a:ln>
                  </pic:spPr>
                </pic:pic>
              </a:graphicData>
            </a:graphic>
          </wp:inline>
        </w:drawing>
      </w:r>
      <w:r>
        <w:rPr>
          <w:rFonts w:hint="eastAsia"/>
          <w:lang w:val="en-US"/>
        </w:rPr>
        <w:t>，</w:t>
      </w:r>
      <w:r>
        <w:rPr>
          <w:lang w:val="en-US"/>
        </w:rPr>
        <w:drawing>
          <wp:inline distT="0" distB="0" distL="0" distR="0">
            <wp:extent cx="5334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r>
        <w:rPr>
          <w:lang w:val="en-US"/>
        </w:rPr>
        <w:t xml:space="preserve"> </w:t>
      </w:r>
      <w:r>
        <w:rPr>
          <w:rFonts w:hint="eastAsia"/>
          <w:lang w:val="en-US"/>
        </w:rPr>
        <w:t>由</w:t>
      </w:r>
      <w:r>
        <w:rPr>
          <w:lang w:val="en-US"/>
        </w:rPr>
        <w:t xml:space="preserve">      </w:t>
      </w:r>
      <w:r>
        <w:rPr>
          <w:lang w:val="en-US"/>
        </w:rPr>
        <w:drawing>
          <wp:inline distT="0" distB="0" distL="0" distR="0">
            <wp:extent cx="2590800" cy="504825"/>
            <wp:effectExtent l="0" t="0" r="0" b="952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8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590800" cy="504825"/>
                    </a:xfrm>
                    <a:prstGeom prst="rect">
                      <a:avLst/>
                    </a:prstGeom>
                    <a:noFill/>
                    <a:ln>
                      <a:noFill/>
                    </a:ln>
                  </pic:spPr>
                </pic:pic>
              </a:graphicData>
            </a:graphic>
          </wp:inline>
        </w:drawing>
      </w:r>
      <w:r>
        <w:rPr>
          <w:rFonts w:hint="eastAsia"/>
          <w:lang w:val="en-US"/>
        </w:rPr>
        <w:t>计算</w:t>
      </w:r>
    </w:p>
    <w:p w14:paraId="405568BA">
      <w:pPr>
        <w:pStyle w:val="3"/>
        <w:ind w:firstLine="525" w:firstLineChars="250"/>
        <w:rPr>
          <w:lang w:val="en-US"/>
        </w:rPr>
      </w:pPr>
      <w:r>
        <w:rPr>
          <w:rFonts w:hint="eastAsia"/>
          <w:lang w:val="en-US"/>
        </w:rPr>
        <w:t>其中</w:t>
      </w:r>
      <w:r>
        <w:rPr>
          <w:lang w:val="en-US"/>
        </w:rPr>
        <w:t xml:space="preserve"> </w:t>
      </w:r>
      <w:r>
        <w:rPr>
          <w:lang w:val="en-US"/>
        </w:rPr>
        <w:drawing>
          <wp:inline distT="0" distB="0" distL="0" distR="0">
            <wp:extent cx="542925" cy="228600"/>
            <wp:effectExtent l="0" t="0" r="9525"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7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42925" cy="228600"/>
                    </a:xfrm>
                    <a:prstGeom prst="rect">
                      <a:avLst/>
                    </a:prstGeom>
                    <a:noFill/>
                    <a:ln>
                      <a:noFill/>
                    </a:ln>
                  </pic:spPr>
                </pic:pic>
              </a:graphicData>
            </a:graphic>
          </wp:inline>
        </w:drawing>
      </w:r>
      <w:r>
        <w:rPr>
          <w:rFonts w:hint="eastAsia"/>
          <w:lang w:val="en-US"/>
        </w:rPr>
        <w:t>。如果</w:t>
      </w:r>
      <w:r>
        <w:rPr>
          <w:lang w:val="en-US"/>
        </w:rPr>
        <w:t xml:space="preserve"> </w:t>
      </w:r>
      <w:r>
        <w:rPr>
          <w:lang w:val="en-US"/>
        </w:rPr>
        <w:drawing>
          <wp:inline distT="0" distB="0" distL="0" distR="0">
            <wp:extent cx="609600" cy="23812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609600" cy="238125"/>
                    </a:xfrm>
                    <a:prstGeom prst="rect">
                      <a:avLst/>
                    </a:prstGeom>
                    <a:noFill/>
                    <a:ln>
                      <a:noFill/>
                    </a:ln>
                  </pic:spPr>
                </pic:pic>
              </a:graphicData>
            </a:graphic>
          </wp:inline>
        </w:drawing>
      </w:r>
      <w:r>
        <w:rPr>
          <w:rFonts w:hint="eastAsia"/>
          <w:lang w:val="en-US"/>
        </w:rPr>
        <w:t>，则</w:t>
      </w:r>
      <w:r>
        <w:rPr>
          <w:lang w:val="en-US"/>
        </w:rPr>
        <w:t xml:space="preserve"> </w:t>
      </w:r>
      <w:r>
        <w:rPr>
          <w:lang w:val="en-US"/>
        </w:rPr>
        <w:drawing>
          <wp:inline distT="0" distB="0" distL="0" distR="0">
            <wp:extent cx="1028700" cy="2286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1028700" cy="228600"/>
                    </a:xfrm>
                    <a:prstGeom prst="rect">
                      <a:avLst/>
                    </a:prstGeom>
                    <a:noFill/>
                    <a:ln>
                      <a:noFill/>
                    </a:ln>
                  </pic:spPr>
                </pic:pic>
              </a:graphicData>
            </a:graphic>
          </wp:inline>
        </w:drawing>
      </w:r>
    </w:p>
    <w:p w14:paraId="5A907331">
      <w:pPr>
        <w:pStyle w:val="3"/>
        <w:ind w:firstLine="525" w:firstLineChars="250"/>
        <w:rPr>
          <w:lang w:val="en-US"/>
        </w:rPr>
      </w:pPr>
      <w:r>
        <w:rPr>
          <w:lang w:val="en-US"/>
        </w:rPr>
        <w:drawing>
          <wp:inline distT="0" distB="0" distL="0" distR="0">
            <wp:extent cx="1704975" cy="457200"/>
            <wp:effectExtent l="0" t="0" r="952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1704975" cy="457200"/>
                    </a:xfrm>
                    <a:prstGeom prst="rect">
                      <a:avLst/>
                    </a:prstGeom>
                    <a:noFill/>
                    <a:ln>
                      <a:noFill/>
                    </a:ln>
                  </pic:spPr>
                </pic:pic>
              </a:graphicData>
            </a:graphic>
          </wp:inline>
        </w:drawing>
      </w:r>
      <w:r>
        <w:rPr>
          <w:rFonts w:hint="eastAsia"/>
          <w:lang w:val="en-US"/>
        </w:rPr>
        <w:t>，</w:t>
      </w:r>
      <w:r>
        <w:rPr>
          <w:lang w:val="en-US"/>
        </w:rPr>
        <w:t xml:space="preserve"> </w:t>
      </w:r>
      <w:r>
        <w:rPr>
          <w:rFonts w:hint="eastAsia"/>
          <w:lang w:val="en-US"/>
        </w:rPr>
        <w:t>其中</w:t>
      </w:r>
      <w:r>
        <w:rPr>
          <w:lang w:val="en-US"/>
        </w:rPr>
        <w:t xml:space="preserve"> </w:t>
      </w:r>
      <w:r>
        <w:rPr>
          <w:lang w:val="en-US"/>
        </w:rPr>
        <w:drawing>
          <wp:inline distT="0" distB="0" distL="0" distR="0">
            <wp:extent cx="619125" cy="200025"/>
            <wp:effectExtent l="0" t="0" r="9525" b="952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619125" cy="2000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09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6096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00025"/>
            <wp:effectExtent l="0" t="0" r="0"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647700" cy="200025"/>
                    </a:xfrm>
                    <a:prstGeom prst="rect">
                      <a:avLst/>
                    </a:prstGeom>
                    <a:noFill/>
                    <a:ln>
                      <a:noFill/>
                    </a:ln>
                  </pic:spPr>
                </pic:pic>
              </a:graphicData>
            </a:graphic>
          </wp:inline>
        </w:drawing>
      </w:r>
    </w:p>
    <w:p w14:paraId="253978F8">
      <w:pPr>
        <w:pStyle w:val="3"/>
        <w:numPr>
          <w:ilvl w:val="0"/>
          <w:numId w:val="3"/>
        </w:numPr>
        <w:ind w:firstLineChars="0"/>
        <w:rPr>
          <w:b/>
          <w:lang w:val="en-US"/>
        </w:rPr>
      </w:pPr>
      <w:r>
        <w:rPr>
          <w:rFonts w:hint="eastAsia"/>
          <w:b/>
          <w:lang w:val="en-US"/>
        </w:rPr>
        <w:t>差分格式</w:t>
      </w:r>
    </w:p>
    <w:p w14:paraId="7EE626A2">
      <w:pPr>
        <w:pStyle w:val="3"/>
        <w:ind w:left="540" w:firstLine="69" w:firstLineChars="33"/>
        <w:rPr>
          <w:lang w:val="en-US"/>
        </w:rPr>
      </w:pPr>
      <w:r>
        <w:rPr>
          <w:rFonts w:hint="eastAsia"/>
          <w:lang w:val="en-US"/>
        </w:rPr>
        <w:t xml:space="preserve"> </w:t>
      </w:r>
      <w:r>
        <w:rPr>
          <w:lang w:val="en-US"/>
        </w:rPr>
        <w:t xml:space="preserve"> </w:t>
      </w:r>
      <w:r>
        <w:rPr>
          <w:rFonts w:hint="eastAsia"/>
          <w:lang w:val="en-US"/>
        </w:rPr>
        <w:t>本项目采用二阶迎风格式对方程进行离散，二阶迎风格式的准确性可满足一般流体模拟计算的要求。</w:t>
      </w:r>
    </w:p>
    <w:p w14:paraId="0F73D3F7">
      <w:pPr>
        <w:pStyle w:val="2"/>
      </w:pPr>
      <w:bookmarkStart w:id="64" w:name="_Toc50050022"/>
      <w:bookmarkStart w:id="65" w:name="_Toc452108768"/>
      <w:bookmarkStart w:id="66" w:name="_Toc3745"/>
      <w:bookmarkStart w:id="67" w:name="_Toc29589"/>
      <w:r>
        <w:rPr>
          <w:rFonts w:hint="eastAsia"/>
        </w:rPr>
        <w:t>结果</w:t>
      </w:r>
      <w:r>
        <w:t>分析</w:t>
      </w:r>
      <w:bookmarkEnd w:id="64"/>
      <w:bookmarkEnd w:id="65"/>
      <w:bookmarkEnd w:id="66"/>
      <w:bookmarkEnd w:id="67"/>
    </w:p>
    <w:p w14:paraId="12B7C46C">
      <w:pPr>
        <w:pStyle w:val="4"/>
      </w:pPr>
      <w:bookmarkStart w:id="68" w:name="_Toc50050023"/>
      <w:bookmarkStart w:id="69" w:name="_Toc3105"/>
      <w:r>
        <w:rPr>
          <w:rFonts w:hint="eastAsia"/>
        </w:rPr>
        <w:t>室内速度场分布</w:t>
      </w:r>
      <w:bookmarkEnd w:id="68"/>
      <w:bookmarkEnd w:id="69"/>
    </w:p>
    <w:p w14:paraId="5F6E78A2">
      <w:pPr>
        <w:pStyle w:val="3"/>
        <w:ind w:firstLine="0" w:firstLineChars="0"/>
        <w:jc w:val="center"/>
        <w:rPr>
          <w:rFonts w:ascii="黑体" w:hAnsi="黑体" w:eastAsia="黑体"/>
          <w:lang w:val="en-US"/>
        </w:rPr>
      </w:pPr>
      <w:bookmarkStart w:id="70" w:name="速度云图"/>
      <w:r>
        <w:drawing>
          <wp:inline distT="0" distB="0" distL="0" distR="0">
            <wp:extent cx="5667375" cy="35147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19"/>
                    <pic:cNvPicPr>
                      <a:picLocks noChangeAspect="1"/>
                    </pic:cNvPicPr>
                  </pic:nvPicPr>
                  <pic:blipFill>
                    <a:blip r:embed="rId54"/>
                    <a:stretch>
                      <a:fillRect/>
                    </a:stretch>
                  </pic:blipFill>
                  <pic:spPr>
                    <a:xfrm>
                      <a:off x="0" y="0"/>
                      <a:ext cx="5667375" cy="3514725"/>
                    </a:xfrm>
                    <a:prstGeom prst="rect">
                      <a:avLst/>
                    </a:prstGeom>
                  </pic:spPr>
                </pic:pic>
              </a:graphicData>
            </a:graphic>
          </wp:inline>
        </w:drawing>
      </w:r>
    </w:p>
    <w:bookmarkEnd w:id="70"/>
    <w:p w14:paraId="3FF0F579">
      <w:pPr>
        <w:pStyle w:val="31"/>
        <w:ind w:firstLine="420"/>
        <w:jc w:val="center"/>
        <w:rPr>
          <w:rFonts w:ascii="Times New Roman" w:hAnsi="Times New Roman"/>
          <w:color w:val="auto"/>
          <w:sz w:val="21"/>
          <w:szCs w:val="21"/>
        </w:rPr>
      </w:pPr>
      <w:bookmarkStart w:id="71" w:name="_Toc50050024"/>
      <w:r>
        <w:rPr>
          <w:rFonts w:ascii="Times New Roman" w:hAnsi="Times New Roman"/>
          <w:color w:val="auto"/>
          <w:sz w:val="21"/>
          <w:szCs w:val="21"/>
        </w:rPr>
        <w:t>图6-1 室内速度分布</w:t>
      </w:r>
    </w:p>
    <w:p w14:paraId="59DFC34D">
      <w:pPr>
        <w:pStyle w:val="4"/>
      </w:pPr>
      <w:bookmarkStart w:id="72" w:name="_Toc17827"/>
      <w:r>
        <w:rPr>
          <w:rFonts w:hint="eastAsia"/>
        </w:rPr>
        <w:t>室内风速矢量图</w:t>
      </w:r>
      <w:bookmarkEnd w:id="71"/>
      <w:bookmarkEnd w:id="72"/>
    </w:p>
    <w:p w14:paraId="11E03459">
      <w:pPr>
        <w:pStyle w:val="3"/>
        <w:ind w:firstLine="0" w:firstLineChars="0"/>
        <w:jc w:val="center"/>
        <w:rPr>
          <w:lang w:val="en-US"/>
        </w:rPr>
      </w:pPr>
      <w:bookmarkStart w:id="73" w:name="速度矢量图"/>
      <w:r>
        <w:drawing>
          <wp:inline distT="0" distB="0" distL="0" distR="0">
            <wp:extent cx="5667375" cy="351472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20"/>
                    <pic:cNvPicPr>
                      <a:picLocks noChangeAspect="1"/>
                    </pic:cNvPicPr>
                  </pic:nvPicPr>
                  <pic:blipFill>
                    <a:blip r:embed="rId55"/>
                    <a:stretch>
                      <a:fillRect/>
                    </a:stretch>
                  </pic:blipFill>
                  <pic:spPr>
                    <a:xfrm>
                      <a:off x="0" y="0"/>
                      <a:ext cx="5667375" cy="3514725"/>
                    </a:xfrm>
                    <a:prstGeom prst="rect">
                      <a:avLst/>
                    </a:prstGeom>
                  </pic:spPr>
                </pic:pic>
              </a:graphicData>
            </a:graphic>
          </wp:inline>
        </w:drawing>
      </w:r>
    </w:p>
    <w:bookmarkEnd w:id="73"/>
    <w:p w14:paraId="4987DCA4">
      <w:pPr>
        <w:pStyle w:val="31"/>
        <w:ind w:firstLine="420"/>
        <w:jc w:val="center"/>
        <w:rPr>
          <w:rFonts w:ascii="Times New Roman" w:hAnsi="Times New Roman"/>
          <w:color w:val="auto"/>
          <w:sz w:val="21"/>
          <w:szCs w:val="21"/>
        </w:rPr>
      </w:pPr>
      <w:bookmarkStart w:id="74" w:name="_Toc50050025"/>
      <w:r>
        <w:rPr>
          <w:rFonts w:ascii="Times New Roman" w:hAnsi="Times New Roman"/>
          <w:color w:val="auto"/>
          <w:sz w:val="21"/>
          <w:szCs w:val="21"/>
        </w:rPr>
        <w:t>图6-2 室内风速矢量图</w:t>
      </w:r>
    </w:p>
    <w:p w14:paraId="75EDDE65">
      <w:pPr>
        <w:pStyle w:val="4"/>
      </w:pPr>
      <w:bookmarkStart w:id="75" w:name="_Toc31576"/>
      <w:r>
        <w:rPr>
          <w:rFonts w:hint="eastAsia"/>
        </w:rPr>
        <w:t>流线图</w:t>
      </w:r>
      <w:bookmarkEnd w:id="75"/>
    </w:p>
    <w:p w14:paraId="15FE8042">
      <w:pPr>
        <w:pStyle w:val="3"/>
        <w:ind w:firstLine="420"/>
        <w:jc w:val="center"/>
        <w:rPr>
          <w:lang w:val="en-US"/>
        </w:rPr>
      </w:pPr>
      <w:bookmarkStart w:id="76" w:name="流线图"/>
      <w:bookmarkEnd w:id="76"/>
      <w:r>
        <w:drawing>
          <wp:inline distT="0" distB="0" distL="0" distR="0">
            <wp:extent cx="5667375" cy="3514725"/>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1"/>
                    <pic:cNvPicPr>
                      <a:picLocks noChangeAspect="1"/>
                    </pic:cNvPicPr>
                  </pic:nvPicPr>
                  <pic:blipFill>
                    <a:blip r:embed="rId56"/>
                    <a:stretch>
                      <a:fillRect/>
                    </a:stretch>
                  </pic:blipFill>
                  <pic:spPr>
                    <a:xfrm>
                      <a:off x="0" y="0"/>
                      <a:ext cx="5667375" cy="3514725"/>
                    </a:xfrm>
                    <a:prstGeom prst="rect">
                      <a:avLst/>
                    </a:prstGeom>
                  </pic:spPr>
                </pic:pic>
              </a:graphicData>
            </a:graphic>
          </wp:inline>
        </w:drawing>
      </w:r>
    </w:p>
    <w:p w14:paraId="66F7576E">
      <w:pPr>
        <w:pStyle w:val="3"/>
        <w:ind w:firstLine="420"/>
        <w:jc w:val="center"/>
        <w:rPr>
          <w:lang w:val="en-US"/>
        </w:rPr>
      </w:pPr>
      <w:r>
        <w:rPr>
          <w:lang w:val="en-US"/>
        </w:rPr>
        <w:t>图6-3 室内流线图</w:t>
      </w:r>
    </w:p>
    <w:p w14:paraId="5512D9E9">
      <w:pPr>
        <w:pStyle w:val="2"/>
        <w:rPr>
          <w:sz w:val="36"/>
          <w:szCs w:val="36"/>
        </w:rPr>
      </w:pPr>
      <w:bookmarkStart w:id="77" w:name="_Toc12411"/>
      <w:r>
        <w:rPr>
          <w:rFonts w:hint="eastAsia"/>
          <w:sz w:val="36"/>
          <w:szCs w:val="36"/>
        </w:rPr>
        <w:t>结论</w:t>
      </w:r>
      <w:bookmarkEnd w:id="74"/>
      <w:bookmarkEnd w:id="77"/>
    </w:p>
    <w:p w14:paraId="2E946430">
      <w:pPr>
        <w:pStyle w:val="3"/>
        <w:ind w:firstLine="480"/>
        <w:rPr>
          <w:sz w:val="24"/>
          <w:szCs w:val="24"/>
          <w:lang w:val="en-US"/>
        </w:rPr>
      </w:pPr>
      <w:r>
        <w:rPr>
          <w:rFonts w:hint="eastAsia"/>
          <w:sz w:val="24"/>
          <w:szCs w:val="24"/>
          <w:lang w:val="en-US"/>
        </w:rPr>
        <w:t>该建筑参评房间所用技术措施合理，且通过CFD对室内进行气流组织分析，确认气流组织合理，满足绿标5.</w:t>
      </w:r>
      <w:r>
        <w:rPr>
          <w:sz w:val="24"/>
          <w:szCs w:val="24"/>
          <w:lang w:val="en-US"/>
        </w:rPr>
        <w:t>1</w:t>
      </w:r>
      <w:r>
        <w:rPr>
          <w:rFonts w:hint="eastAsia"/>
          <w:sz w:val="24"/>
          <w:szCs w:val="24"/>
          <w:lang w:val="en-US"/>
        </w:rPr>
        <w:t>.</w:t>
      </w:r>
      <w:r>
        <w:rPr>
          <w:sz w:val="24"/>
          <w:szCs w:val="24"/>
          <w:lang w:val="en-US"/>
        </w:rPr>
        <w:t>2</w:t>
      </w:r>
      <w:r>
        <w:rPr>
          <w:rFonts w:hint="eastAsia"/>
          <w:sz w:val="24"/>
          <w:szCs w:val="24"/>
          <w:lang w:val="en-US"/>
        </w:rPr>
        <w:t>的要求。</w:t>
      </w:r>
    </w:p>
    <w:bookmarkEnd w:id="39"/>
    <w:bookmarkEnd w:id="50"/>
    <w:bookmarkEnd w:id="51"/>
    <w:p w14:paraId="6932CF8A">
      <w:pPr>
        <w:pStyle w:val="3"/>
        <w:tabs>
          <w:tab w:val="left" w:pos="7938"/>
        </w:tabs>
        <w:ind w:firstLine="480"/>
        <w:rPr>
          <w:sz w:val="24"/>
          <w:szCs w:val="24"/>
          <w:lang w:val="en-US"/>
        </w:rPr>
      </w:pPr>
    </w:p>
    <w:sectPr>
      <w:pgSz w:w="11906" w:h="16838"/>
      <w:pgMar w:top="1440" w:right="566" w:bottom="993" w:left="993" w:header="794" w:footer="170"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20"/>
      <w:gridCol w:w="3020"/>
      <w:gridCol w:w="3020"/>
    </w:tblGrid>
    <w:tr w14:paraId="5388A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020" w:type="dxa"/>
        </w:tcPr>
        <w:p w14:paraId="19C0ABF0">
          <w:pPr>
            <w:pStyle w:val="18"/>
            <w:rPr>
              <w:rFonts w:asciiTheme="minorEastAsia" w:hAnsiTheme="minorEastAsia" w:eastAsiaTheme="minorEastAsia"/>
              <w:sz w:val="20"/>
              <w:szCs w:val="21"/>
            </w:rPr>
          </w:pPr>
          <w:r>
            <w:fldChar w:fldCharType="begin"/>
          </w:r>
          <w:r>
            <w:instrText xml:space="preserve"> HYPERLINK "http://www.gbsware.cn/" </w:instrText>
          </w:r>
          <w:r>
            <w:fldChar w:fldCharType="separate"/>
          </w:r>
          <w:r>
            <w:rPr>
              <w:rStyle w:val="27"/>
              <w:rFonts w:asciiTheme="minorEastAsia" w:hAnsiTheme="minorEastAsia" w:eastAsiaTheme="minorEastAsia"/>
              <w:sz w:val="20"/>
              <w:szCs w:val="21"/>
            </w:rPr>
            <w:t>http://www.gbsware.cn/</w:t>
          </w:r>
          <w:r>
            <w:rPr>
              <w:rStyle w:val="27"/>
              <w:rFonts w:asciiTheme="minorEastAsia" w:hAnsiTheme="minorEastAsia" w:eastAsiaTheme="minorEastAsia"/>
              <w:sz w:val="20"/>
              <w:szCs w:val="21"/>
            </w:rPr>
            <w:fldChar w:fldCharType="end"/>
          </w:r>
        </w:p>
      </w:tc>
      <w:tc>
        <w:tcPr>
          <w:tcW w:w="3020" w:type="dxa"/>
        </w:tcPr>
        <w:p w14:paraId="0BFD0DBB">
          <w:pPr>
            <w:pStyle w:val="18"/>
            <w:jc w:val="center"/>
            <w:rPr>
              <w:rFonts w:asciiTheme="minorEastAsia" w:hAnsiTheme="minorEastAsia" w:eastAsiaTheme="minorEastAsia"/>
              <w:sz w:val="20"/>
              <w:szCs w:val="21"/>
            </w:rPr>
          </w:pPr>
          <w:sdt>
            <w:sdtPr>
              <w:rPr>
                <w:sz w:val="20"/>
              </w:rPr>
              <w:id w:val="-1045986677"/>
              <w:docPartObj>
                <w:docPartGallery w:val="AutoText"/>
              </w:docPartObj>
            </w:sdtPr>
            <w:sdtEndPr>
              <w:rPr>
                <w:rFonts w:asciiTheme="minorEastAsia" w:hAnsiTheme="minorEastAsia" w:eastAsiaTheme="minorEastAsia"/>
                <w:sz w:val="20"/>
                <w:szCs w:val="21"/>
              </w:rPr>
            </w:sdtEndPr>
            <w:sdtContent>
              <w:r>
                <w:rPr>
                  <w:rFonts w:hint="eastAsia"/>
                  <w:sz w:val="20"/>
                </w:rPr>
                <w:t>第</w:t>
              </w:r>
              <w:r>
                <w:rPr>
                  <w:rFonts w:asciiTheme="minorEastAsia" w:hAnsiTheme="minorEastAsia" w:eastAsiaTheme="minorEastAsia"/>
                  <w:bCs/>
                  <w:sz w:val="20"/>
                  <w:szCs w:val="21"/>
                </w:rPr>
                <w:fldChar w:fldCharType="begin"/>
              </w:r>
              <w:r>
                <w:rPr>
                  <w:rFonts w:asciiTheme="minorEastAsia" w:hAnsiTheme="minorEastAsia" w:eastAsiaTheme="minorEastAsia"/>
                  <w:bCs/>
                  <w:sz w:val="20"/>
                  <w:szCs w:val="21"/>
                </w:rPr>
                <w:instrText xml:space="preserve">PAGE</w:instrText>
              </w:r>
              <w:r>
                <w:rPr>
                  <w:rFonts w:asciiTheme="minorEastAsia" w:hAnsiTheme="minorEastAsia" w:eastAsiaTheme="minorEastAsia"/>
                  <w:bCs/>
                  <w:sz w:val="20"/>
                  <w:szCs w:val="21"/>
                </w:rPr>
                <w:fldChar w:fldCharType="separate"/>
              </w:r>
              <w:r>
                <w:rPr>
                  <w:rFonts w:asciiTheme="minorEastAsia" w:hAnsiTheme="minorEastAsia" w:eastAsiaTheme="minorEastAsia"/>
                  <w:bCs/>
                  <w:sz w:val="20"/>
                  <w:szCs w:val="21"/>
                </w:rPr>
                <w:t>4</w:t>
              </w:r>
              <w:r>
                <w:rPr>
                  <w:rFonts w:asciiTheme="minorEastAsia" w:hAnsiTheme="minorEastAsia" w:eastAsiaTheme="minorEastAsia"/>
                  <w:bCs/>
                  <w:sz w:val="20"/>
                  <w:szCs w:val="21"/>
                </w:rPr>
                <w:fldChar w:fldCharType="end"/>
              </w:r>
              <w:r>
                <w:rPr>
                  <w:rFonts w:hint="eastAsia" w:asciiTheme="minorEastAsia" w:hAnsiTheme="minorEastAsia" w:eastAsiaTheme="minorEastAsia"/>
                  <w:sz w:val="20"/>
                  <w:szCs w:val="21"/>
                  <w:lang w:val="zh-CN"/>
                </w:rPr>
                <w:t>页 共</w:t>
              </w:r>
              <w:r>
                <w:rPr>
                  <w:rFonts w:asciiTheme="minorEastAsia" w:hAnsiTheme="minorEastAsia" w:eastAsiaTheme="minorEastAsia"/>
                  <w:bCs/>
                  <w:sz w:val="20"/>
                  <w:szCs w:val="21"/>
                </w:rPr>
                <w:fldChar w:fldCharType="begin"/>
              </w:r>
              <w:r>
                <w:rPr>
                  <w:rFonts w:asciiTheme="minorEastAsia" w:hAnsiTheme="minorEastAsia" w:eastAsiaTheme="minorEastAsia"/>
                  <w:bCs/>
                  <w:sz w:val="20"/>
                  <w:szCs w:val="21"/>
                </w:rPr>
                <w:instrText xml:space="preserve">NUMPAGES</w:instrText>
              </w:r>
              <w:r>
                <w:rPr>
                  <w:rFonts w:asciiTheme="minorEastAsia" w:hAnsiTheme="minorEastAsia" w:eastAsiaTheme="minorEastAsia"/>
                  <w:bCs/>
                  <w:sz w:val="20"/>
                  <w:szCs w:val="21"/>
                </w:rPr>
                <w:fldChar w:fldCharType="separate"/>
              </w:r>
              <w:r>
                <w:rPr>
                  <w:rFonts w:asciiTheme="minorEastAsia" w:hAnsiTheme="minorEastAsia" w:eastAsiaTheme="minorEastAsia"/>
                  <w:bCs/>
                  <w:sz w:val="20"/>
                  <w:szCs w:val="21"/>
                </w:rPr>
                <w:t>7</w:t>
              </w:r>
              <w:r>
                <w:rPr>
                  <w:rFonts w:asciiTheme="minorEastAsia" w:hAnsiTheme="minorEastAsia" w:eastAsiaTheme="minorEastAsia"/>
                  <w:bCs/>
                  <w:sz w:val="20"/>
                  <w:szCs w:val="21"/>
                </w:rPr>
                <w:fldChar w:fldCharType="end"/>
              </w:r>
              <w:r>
                <w:rPr>
                  <w:rFonts w:hint="eastAsia" w:asciiTheme="minorEastAsia" w:hAnsiTheme="minorEastAsia" w:eastAsiaTheme="minorEastAsia"/>
                  <w:bCs/>
                  <w:sz w:val="20"/>
                  <w:szCs w:val="21"/>
                </w:rPr>
                <w:t>页</w:t>
              </w:r>
            </w:sdtContent>
          </w:sdt>
        </w:p>
      </w:tc>
      <w:tc>
        <w:tcPr>
          <w:tcW w:w="3020" w:type="dxa"/>
        </w:tcPr>
        <w:p w14:paraId="1F82D156">
          <w:pPr>
            <w:pStyle w:val="18"/>
            <w:jc w:val="right"/>
            <w:rPr>
              <w:rFonts w:asciiTheme="minorEastAsia" w:hAnsiTheme="minorEastAsia" w:eastAsiaTheme="minorEastAsia"/>
              <w:sz w:val="20"/>
              <w:szCs w:val="21"/>
            </w:rPr>
          </w:pPr>
          <w:r>
            <w:rPr>
              <w:rFonts w:hint="eastAsia" w:asciiTheme="minorEastAsia" w:hAnsiTheme="minorEastAsia" w:eastAsiaTheme="minorEastAsia"/>
              <w:sz w:val="20"/>
              <w:szCs w:val="21"/>
            </w:rPr>
            <w:t>V</w:t>
          </w:r>
          <w:r>
            <w:rPr>
              <w:rFonts w:asciiTheme="minorEastAsia" w:hAnsiTheme="minorEastAsia" w:eastAsiaTheme="minorEastAsia"/>
              <w:sz w:val="20"/>
              <w:szCs w:val="21"/>
            </w:rPr>
            <w:t>ENT20</w:t>
          </w:r>
          <w:r>
            <w:rPr>
              <w:rFonts w:hint="eastAsia" w:asciiTheme="minorEastAsia" w:hAnsiTheme="minorEastAsia" w:eastAsiaTheme="minorEastAsia"/>
              <w:sz w:val="20"/>
              <w:szCs w:val="21"/>
            </w:rPr>
            <w:t>2</w:t>
          </w:r>
          <w:r>
            <w:rPr>
              <w:rFonts w:asciiTheme="minorEastAsia" w:hAnsiTheme="minorEastAsia" w:eastAsiaTheme="minorEastAsia"/>
              <w:sz w:val="20"/>
              <w:szCs w:val="21"/>
            </w:rPr>
            <w:t>4</w:t>
          </w:r>
        </w:p>
      </w:tc>
    </w:tr>
  </w:tbl>
  <w:p w14:paraId="63398820">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7DFF0">
    <w:pPr>
      <w:pStyle w:val="18"/>
      <w:jc w:val="center"/>
      <w:rPr>
        <w:rFonts w:asciiTheme="minorEastAsia" w:hAnsiTheme="minorEastAsia" w:eastAsiaTheme="minorEastAsia"/>
        <w:szCs w:val="21"/>
      </w:rPr>
    </w:pPr>
  </w:p>
  <w:p w14:paraId="44E395EA">
    <w:pPr>
      <w:pStyle w:val="1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E8FA6F">
    <w:pPr>
      <w:pStyle w:val="19"/>
      <w:pBdr>
        <w:bottom w:val="single" w:color="auto" w:sz="6" w:space="0"/>
      </w:pBdr>
      <w:jc w:val="left"/>
    </w:pPr>
    <w:r>
      <w:rPr>
        <w:lang w:val="en-US"/>
      </w:rPr>
      <w:drawing>
        <wp:inline distT="0" distB="0" distL="0" distR="0">
          <wp:extent cx="866140" cy="2514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r>
      <w:ptab w:relativeTo="margin" w:alignment="center" w:leader="none"/>
    </w:r>
    <w:r>
      <w:ptab w:relativeTo="margin" w:alignment="right" w:leader="none"/>
    </w:r>
    <w:r>
      <w:rPr>
        <w:rFonts w:hint="eastAsia"/>
      </w:rPr>
      <w:t>室内气流组织分析报告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02F50ED4"/>
    <w:multiLevelType w:val="multilevel"/>
    <w:tmpl w:val="02F50ED4"/>
    <w:lvl w:ilvl="0" w:tentative="0">
      <w:start w:val="1"/>
      <w:numFmt w:val="decimal"/>
      <w:lvlText w:val="%1."/>
      <w:lvlJc w:val="left"/>
      <w:pPr>
        <w:ind w:left="780" w:hanging="36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0E3257E5"/>
    <w:multiLevelType w:val="multilevel"/>
    <w:tmpl w:val="0E3257E5"/>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402991"/>
    <w:rsid w:val="00000112"/>
    <w:rsid w:val="00005045"/>
    <w:rsid w:val="0000578F"/>
    <w:rsid w:val="0002001E"/>
    <w:rsid w:val="000219DF"/>
    <w:rsid w:val="00026604"/>
    <w:rsid w:val="00037A4C"/>
    <w:rsid w:val="00056BE6"/>
    <w:rsid w:val="000678A8"/>
    <w:rsid w:val="00067D42"/>
    <w:rsid w:val="00067FD6"/>
    <w:rsid w:val="00070047"/>
    <w:rsid w:val="00073958"/>
    <w:rsid w:val="00081A16"/>
    <w:rsid w:val="00083128"/>
    <w:rsid w:val="000A26D4"/>
    <w:rsid w:val="000C1855"/>
    <w:rsid w:val="000C291D"/>
    <w:rsid w:val="000C3B77"/>
    <w:rsid w:val="000D16B8"/>
    <w:rsid w:val="000D7A8A"/>
    <w:rsid w:val="000F14F7"/>
    <w:rsid w:val="000F4722"/>
    <w:rsid w:val="000F63BF"/>
    <w:rsid w:val="000F7EF2"/>
    <w:rsid w:val="0010102D"/>
    <w:rsid w:val="0010180D"/>
    <w:rsid w:val="00101EBF"/>
    <w:rsid w:val="00106871"/>
    <w:rsid w:val="001105DA"/>
    <w:rsid w:val="00111EDF"/>
    <w:rsid w:val="00112118"/>
    <w:rsid w:val="00112DC5"/>
    <w:rsid w:val="00120AB8"/>
    <w:rsid w:val="00122AE1"/>
    <w:rsid w:val="00122DD1"/>
    <w:rsid w:val="00124784"/>
    <w:rsid w:val="00124E90"/>
    <w:rsid w:val="00132E88"/>
    <w:rsid w:val="00134709"/>
    <w:rsid w:val="001428A7"/>
    <w:rsid w:val="0014776A"/>
    <w:rsid w:val="00147DF5"/>
    <w:rsid w:val="001511A3"/>
    <w:rsid w:val="00153AEE"/>
    <w:rsid w:val="001570B9"/>
    <w:rsid w:val="0016330F"/>
    <w:rsid w:val="001737F9"/>
    <w:rsid w:val="001773DA"/>
    <w:rsid w:val="00184656"/>
    <w:rsid w:val="00186918"/>
    <w:rsid w:val="001A12A0"/>
    <w:rsid w:val="001A4175"/>
    <w:rsid w:val="001A7C37"/>
    <w:rsid w:val="001B287E"/>
    <w:rsid w:val="001B7C87"/>
    <w:rsid w:val="001C1C39"/>
    <w:rsid w:val="001D3071"/>
    <w:rsid w:val="001D3BB9"/>
    <w:rsid w:val="001E133A"/>
    <w:rsid w:val="00201812"/>
    <w:rsid w:val="00203163"/>
    <w:rsid w:val="00203A7D"/>
    <w:rsid w:val="00215EBC"/>
    <w:rsid w:val="00217F09"/>
    <w:rsid w:val="0022597C"/>
    <w:rsid w:val="002431AE"/>
    <w:rsid w:val="002555B8"/>
    <w:rsid w:val="002611A7"/>
    <w:rsid w:val="00266FC5"/>
    <w:rsid w:val="00276796"/>
    <w:rsid w:val="00284FB2"/>
    <w:rsid w:val="0029328A"/>
    <w:rsid w:val="00294D1C"/>
    <w:rsid w:val="00295C3C"/>
    <w:rsid w:val="00295D20"/>
    <w:rsid w:val="002A1AF2"/>
    <w:rsid w:val="002A60F5"/>
    <w:rsid w:val="002B090C"/>
    <w:rsid w:val="002B2E78"/>
    <w:rsid w:val="002B7314"/>
    <w:rsid w:val="002C153B"/>
    <w:rsid w:val="002D1297"/>
    <w:rsid w:val="002E702B"/>
    <w:rsid w:val="002F1E1F"/>
    <w:rsid w:val="0030437C"/>
    <w:rsid w:val="0031135A"/>
    <w:rsid w:val="00311578"/>
    <w:rsid w:val="003121F7"/>
    <w:rsid w:val="0031365D"/>
    <w:rsid w:val="00314D29"/>
    <w:rsid w:val="00315CFC"/>
    <w:rsid w:val="00316B5F"/>
    <w:rsid w:val="00317F3B"/>
    <w:rsid w:val="00321894"/>
    <w:rsid w:val="00321CDB"/>
    <w:rsid w:val="00322951"/>
    <w:rsid w:val="003368D4"/>
    <w:rsid w:val="00337C74"/>
    <w:rsid w:val="00340177"/>
    <w:rsid w:val="0034506B"/>
    <w:rsid w:val="003630EE"/>
    <w:rsid w:val="0037000B"/>
    <w:rsid w:val="003747B9"/>
    <w:rsid w:val="0038554A"/>
    <w:rsid w:val="003857DF"/>
    <w:rsid w:val="00396914"/>
    <w:rsid w:val="003A50E3"/>
    <w:rsid w:val="003A6A7F"/>
    <w:rsid w:val="003A6F68"/>
    <w:rsid w:val="003B2E2C"/>
    <w:rsid w:val="003B7B0F"/>
    <w:rsid w:val="003C04E5"/>
    <w:rsid w:val="003C2E7C"/>
    <w:rsid w:val="003C51B9"/>
    <w:rsid w:val="003C5F3A"/>
    <w:rsid w:val="003D123E"/>
    <w:rsid w:val="003D3E8E"/>
    <w:rsid w:val="003D52D0"/>
    <w:rsid w:val="003D71B6"/>
    <w:rsid w:val="003E0E32"/>
    <w:rsid w:val="00407998"/>
    <w:rsid w:val="00412598"/>
    <w:rsid w:val="00412ACB"/>
    <w:rsid w:val="00413DB8"/>
    <w:rsid w:val="004169B3"/>
    <w:rsid w:val="00421EC2"/>
    <w:rsid w:val="00423970"/>
    <w:rsid w:val="00435221"/>
    <w:rsid w:val="00437A5C"/>
    <w:rsid w:val="00446531"/>
    <w:rsid w:val="00453246"/>
    <w:rsid w:val="004556B5"/>
    <w:rsid w:val="00455947"/>
    <w:rsid w:val="0046589C"/>
    <w:rsid w:val="0047200C"/>
    <w:rsid w:val="00481D85"/>
    <w:rsid w:val="00483193"/>
    <w:rsid w:val="00485FD3"/>
    <w:rsid w:val="00494ADE"/>
    <w:rsid w:val="0049520E"/>
    <w:rsid w:val="004A0D3B"/>
    <w:rsid w:val="004C7D33"/>
    <w:rsid w:val="004D230F"/>
    <w:rsid w:val="004D449D"/>
    <w:rsid w:val="004D7AD4"/>
    <w:rsid w:val="004E2AEB"/>
    <w:rsid w:val="004F0639"/>
    <w:rsid w:val="0050569B"/>
    <w:rsid w:val="00511D13"/>
    <w:rsid w:val="00512B1A"/>
    <w:rsid w:val="00515CA9"/>
    <w:rsid w:val="005215FB"/>
    <w:rsid w:val="00537E4B"/>
    <w:rsid w:val="00540765"/>
    <w:rsid w:val="00546490"/>
    <w:rsid w:val="00547D69"/>
    <w:rsid w:val="00562403"/>
    <w:rsid w:val="005725E0"/>
    <w:rsid w:val="005755BA"/>
    <w:rsid w:val="0058501E"/>
    <w:rsid w:val="005910E8"/>
    <w:rsid w:val="00594562"/>
    <w:rsid w:val="005A1031"/>
    <w:rsid w:val="005A1B63"/>
    <w:rsid w:val="005A21DB"/>
    <w:rsid w:val="005A317A"/>
    <w:rsid w:val="005A3A23"/>
    <w:rsid w:val="005A7F1B"/>
    <w:rsid w:val="005B277A"/>
    <w:rsid w:val="005B7445"/>
    <w:rsid w:val="005C069E"/>
    <w:rsid w:val="005C6629"/>
    <w:rsid w:val="005E2482"/>
    <w:rsid w:val="005E49E5"/>
    <w:rsid w:val="005F4F73"/>
    <w:rsid w:val="006105F7"/>
    <w:rsid w:val="00612E00"/>
    <w:rsid w:val="006156D5"/>
    <w:rsid w:val="0062338D"/>
    <w:rsid w:val="006254D5"/>
    <w:rsid w:val="0063190F"/>
    <w:rsid w:val="00634E08"/>
    <w:rsid w:val="0064005D"/>
    <w:rsid w:val="00642309"/>
    <w:rsid w:val="00653B24"/>
    <w:rsid w:val="00654C63"/>
    <w:rsid w:val="00656119"/>
    <w:rsid w:val="00661405"/>
    <w:rsid w:val="00662EF0"/>
    <w:rsid w:val="006645DE"/>
    <w:rsid w:val="00665C22"/>
    <w:rsid w:val="00670E9B"/>
    <w:rsid w:val="00672C75"/>
    <w:rsid w:val="0067336D"/>
    <w:rsid w:val="00674121"/>
    <w:rsid w:val="00691DD2"/>
    <w:rsid w:val="00693A24"/>
    <w:rsid w:val="00694FCA"/>
    <w:rsid w:val="0069542D"/>
    <w:rsid w:val="00695DC8"/>
    <w:rsid w:val="0069629F"/>
    <w:rsid w:val="006A07C2"/>
    <w:rsid w:val="006A4471"/>
    <w:rsid w:val="006B6C00"/>
    <w:rsid w:val="006C2D59"/>
    <w:rsid w:val="006C2DCC"/>
    <w:rsid w:val="006D02D6"/>
    <w:rsid w:val="006D0E3A"/>
    <w:rsid w:val="006D45E8"/>
    <w:rsid w:val="006E2867"/>
    <w:rsid w:val="006F0AC9"/>
    <w:rsid w:val="006F289F"/>
    <w:rsid w:val="006F3036"/>
    <w:rsid w:val="007064C5"/>
    <w:rsid w:val="007072BC"/>
    <w:rsid w:val="007114BF"/>
    <w:rsid w:val="0071348B"/>
    <w:rsid w:val="007167B7"/>
    <w:rsid w:val="0072222E"/>
    <w:rsid w:val="00741470"/>
    <w:rsid w:val="007446D1"/>
    <w:rsid w:val="0074750E"/>
    <w:rsid w:val="00751D7B"/>
    <w:rsid w:val="00754698"/>
    <w:rsid w:val="00754FB6"/>
    <w:rsid w:val="00757189"/>
    <w:rsid w:val="00762314"/>
    <w:rsid w:val="007628A1"/>
    <w:rsid w:val="0077661F"/>
    <w:rsid w:val="0077753A"/>
    <w:rsid w:val="00777CCF"/>
    <w:rsid w:val="00782889"/>
    <w:rsid w:val="00790965"/>
    <w:rsid w:val="007A20AF"/>
    <w:rsid w:val="007A5318"/>
    <w:rsid w:val="007B0E10"/>
    <w:rsid w:val="007B2D7C"/>
    <w:rsid w:val="007B3311"/>
    <w:rsid w:val="007B61C5"/>
    <w:rsid w:val="007C15B9"/>
    <w:rsid w:val="007C4F93"/>
    <w:rsid w:val="007C7FC3"/>
    <w:rsid w:val="007D02FB"/>
    <w:rsid w:val="007D0F12"/>
    <w:rsid w:val="007D386E"/>
    <w:rsid w:val="007E5D0D"/>
    <w:rsid w:val="007E6E69"/>
    <w:rsid w:val="00813ECF"/>
    <w:rsid w:val="0081434D"/>
    <w:rsid w:val="00815874"/>
    <w:rsid w:val="008160AB"/>
    <w:rsid w:val="00820783"/>
    <w:rsid w:val="00821D1E"/>
    <w:rsid w:val="00823CD7"/>
    <w:rsid w:val="00823E9B"/>
    <w:rsid w:val="00834E88"/>
    <w:rsid w:val="0083614F"/>
    <w:rsid w:val="00840878"/>
    <w:rsid w:val="008502A5"/>
    <w:rsid w:val="00851CA4"/>
    <w:rsid w:val="00856B3E"/>
    <w:rsid w:val="008659A5"/>
    <w:rsid w:val="00865A08"/>
    <w:rsid w:val="0086632A"/>
    <w:rsid w:val="0086790E"/>
    <w:rsid w:val="0087011E"/>
    <w:rsid w:val="00876531"/>
    <w:rsid w:val="00880A06"/>
    <w:rsid w:val="00883D6C"/>
    <w:rsid w:val="00886207"/>
    <w:rsid w:val="008870D0"/>
    <w:rsid w:val="008A48E6"/>
    <w:rsid w:val="008B115C"/>
    <w:rsid w:val="008B49CE"/>
    <w:rsid w:val="008B5F22"/>
    <w:rsid w:val="008C231A"/>
    <w:rsid w:val="008D7355"/>
    <w:rsid w:val="008E2A42"/>
    <w:rsid w:val="008E5E54"/>
    <w:rsid w:val="00902967"/>
    <w:rsid w:val="00902A4F"/>
    <w:rsid w:val="00920203"/>
    <w:rsid w:val="0092087D"/>
    <w:rsid w:val="00920FEB"/>
    <w:rsid w:val="00940725"/>
    <w:rsid w:val="00940C22"/>
    <w:rsid w:val="00942133"/>
    <w:rsid w:val="00943B01"/>
    <w:rsid w:val="009471C2"/>
    <w:rsid w:val="00960E21"/>
    <w:rsid w:val="00966AA0"/>
    <w:rsid w:val="009671F5"/>
    <w:rsid w:val="00972F40"/>
    <w:rsid w:val="00974ECB"/>
    <w:rsid w:val="00975F76"/>
    <w:rsid w:val="009812A9"/>
    <w:rsid w:val="009904E5"/>
    <w:rsid w:val="009A2274"/>
    <w:rsid w:val="009A4F1F"/>
    <w:rsid w:val="009A64A1"/>
    <w:rsid w:val="009C1CEB"/>
    <w:rsid w:val="009C4AB3"/>
    <w:rsid w:val="009E2DE9"/>
    <w:rsid w:val="009E34BD"/>
    <w:rsid w:val="009F2CAC"/>
    <w:rsid w:val="00A11D6B"/>
    <w:rsid w:val="00A23D26"/>
    <w:rsid w:val="00A25C14"/>
    <w:rsid w:val="00A273C5"/>
    <w:rsid w:val="00A306C2"/>
    <w:rsid w:val="00A31766"/>
    <w:rsid w:val="00A32590"/>
    <w:rsid w:val="00A327ED"/>
    <w:rsid w:val="00A352C9"/>
    <w:rsid w:val="00A355BD"/>
    <w:rsid w:val="00A41C1F"/>
    <w:rsid w:val="00A4318E"/>
    <w:rsid w:val="00A566CB"/>
    <w:rsid w:val="00A67355"/>
    <w:rsid w:val="00A7462A"/>
    <w:rsid w:val="00A8181B"/>
    <w:rsid w:val="00A8393F"/>
    <w:rsid w:val="00A968A5"/>
    <w:rsid w:val="00AA0A05"/>
    <w:rsid w:val="00AA26C7"/>
    <w:rsid w:val="00AA3F7C"/>
    <w:rsid w:val="00AA47FE"/>
    <w:rsid w:val="00AB00F6"/>
    <w:rsid w:val="00AB3E6E"/>
    <w:rsid w:val="00AC7C9E"/>
    <w:rsid w:val="00AC7EEF"/>
    <w:rsid w:val="00AD1722"/>
    <w:rsid w:val="00AD239C"/>
    <w:rsid w:val="00AE0FC4"/>
    <w:rsid w:val="00AE5894"/>
    <w:rsid w:val="00AE5F8F"/>
    <w:rsid w:val="00AF10EE"/>
    <w:rsid w:val="00AF3A30"/>
    <w:rsid w:val="00B11FE8"/>
    <w:rsid w:val="00B121A8"/>
    <w:rsid w:val="00B14131"/>
    <w:rsid w:val="00B20DC9"/>
    <w:rsid w:val="00B25777"/>
    <w:rsid w:val="00B27308"/>
    <w:rsid w:val="00B32B1D"/>
    <w:rsid w:val="00B3645B"/>
    <w:rsid w:val="00B41640"/>
    <w:rsid w:val="00B44806"/>
    <w:rsid w:val="00B51A2D"/>
    <w:rsid w:val="00B55B22"/>
    <w:rsid w:val="00B56B4C"/>
    <w:rsid w:val="00B5736D"/>
    <w:rsid w:val="00B60841"/>
    <w:rsid w:val="00B67401"/>
    <w:rsid w:val="00B67D57"/>
    <w:rsid w:val="00B71B30"/>
    <w:rsid w:val="00B73C41"/>
    <w:rsid w:val="00B7457E"/>
    <w:rsid w:val="00B754F3"/>
    <w:rsid w:val="00B87ACB"/>
    <w:rsid w:val="00BA2C3C"/>
    <w:rsid w:val="00BB5BCC"/>
    <w:rsid w:val="00BD0C1B"/>
    <w:rsid w:val="00BE0E75"/>
    <w:rsid w:val="00BE4681"/>
    <w:rsid w:val="00BE75B4"/>
    <w:rsid w:val="00BE7E24"/>
    <w:rsid w:val="00BF173E"/>
    <w:rsid w:val="00BF7629"/>
    <w:rsid w:val="00C02F71"/>
    <w:rsid w:val="00C03066"/>
    <w:rsid w:val="00C15B1A"/>
    <w:rsid w:val="00C3112C"/>
    <w:rsid w:val="00C34324"/>
    <w:rsid w:val="00C37EFB"/>
    <w:rsid w:val="00C508B4"/>
    <w:rsid w:val="00C50BDB"/>
    <w:rsid w:val="00C57197"/>
    <w:rsid w:val="00C6186A"/>
    <w:rsid w:val="00C63237"/>
    <w:rsid w:val="00C67778"/>
    <w:rsid w:val="00C72E58"/>
    <w:rsid w:val="00C86FAA"/>
    <w:rsid w:val="00C87AC6"/>
    <w:rsid w:val="00C976BE"/>
    <w:rsid w:val="00C97E25"/>
    <w:rsid w:val="00C97F88"/>
    <w:rsid w:val="00CA1378"/>
    <w:rsid w:val="00CB0266"/>
    <w:rsid w:val="00CB0F5E"/>
    <w:rsid w:val="00CB2732"/>
    <w:rsid w:val="00CC4C82"/>
    <w:rsid w:val="00CE10B5"/>
    <w:rsid w:val="00CE1A11"/>
    <w:rsid w:val="00CE28AA"/>
    <w:rsid w:val="00CE2A66"/>
    <w:rsid w:val="00CE6B55"/>
    <w:rsid w:val="00CF109A"/>
    <w:rsid w:val="00CF421E"/>
    <w:rsid w:val="00CF6330"/>
    <w:rsid w:val="00D13ABE"/>
    <w:rsid w:val="00D23B17"/>
    <w:rsid w:val="00D24A0F"/>
    <w:rsid w:val="00D24F54"/>
    <w:rsid w:val="00D32543"/>
    <w:rsid w:val="00D40158"/>
    <w:rsid w:val="00D43C46"/>
    <w:rsid w:val="00D45C26"/>
    <w:rsid w:val="00D471DD"/>
    <w:rsid w:val="00D5111E"/>
    <w:rsid w:val="00D51770"/>
    <w:rsid w:val="00D56084"/>
    <w:rsid w:val="00D57354"/>
    <w:rsid w:val="00D62A9A"/>
    <w:rsid w:val="00D65980"/>
    <w:rsid w:val="00D742AB"/>
    <w:rsid w:val="00D75C7F"/>
    <w:rsid w:val="00D85DC3"/>
    <w:rsid w:val="00D9645E"/>
    <w:rsid w:val="00DA0532"/>
    <w:rsid w:val="00DA4173"/>
    <w:rsid w:val="00DA66B2"/>
    <w:rsid w:val="00DB09A4"/>
    <w:rsid w:val="00DC5E38"/>
    <w:rsid w:val="00DC62E7"/>
    <w:rsid w:val="00DC73AD"/>
    <w:rsid w:val="00DD16C4"/>
    <w:rsid w:val="00DD2870"/>
    <w:rsid w:val="00DE50D2"/>
    <w:rsid w:val="00DF470C"/>
    <w:rsid w:val="00DF486E"/>
    <w:rsid w:val="00DF4996"/>
    <w:rsid w:val="00DF4B1A"/>
    <w:rsid w:val="00DF67BB"/>
    <w:rsid w:val="00E05025"/>
    <w:rsid w:val="00E10A3D"/>
    <w:rsid w:val="00E11160"/>
    <w:rsid w:val="00E14637"/>
    <w:rsid w:val="00E14A0C"/>
    <w:rsid w:val="00E1693B"/>
    <w:rsid w:val="00E16C90"/>
    <w:rsid w:val="00E243C8"/>
    <w:rsid w:val="00E2499D"/>
    <w:rsid w:val="00E263C0"/>
    <w:rsid w:val="00E27B4C"/>
    <w:rsid w:val="00E36696"/>
    <w:rsid w:val="00E36856"/>
    <w:rsid w:val="00E47BF2"/>
    <w:rsid w:val="00E52B53"/>
    <w:rsid w:val="00E56575"/>
    <w:rsid w:val="00E60BFC"/>
    <w:rsid w:val="00E660D6"/>
    <w:rsid w:val="00E70F7F"/>
    <w:rsid w:val="00E81ACD"/>
    <w:rsid w:val="00E872A7"/>
    <w:rsid w:val="00E90F14"/>
    <w:rsid w:val="00EA5DEE"/>
    <w:rsid w:val="00EB07D7"/>
    <w:rsid w:val="00EB1BD1"/>
    <w:rsid w:val="00EB6181"/>
    <w:rsid w:val="00EB67C0"/>
    <w:rsid w:val="00EE1BA7"/>
    <w:rsid w:val="00EE68A9"/>
    <w:rsid w:val="00EE7411"/>
    <w:rsid w:val="00EF3DA5"/>
    <w:rsid w:val="00EF60A9"/>
    <w:rsid w:val="00EF7114"/>
    <w:rsid w:val="00EF7501"/>
    <w:rsid w:val="00F0656F"/>
    <w:rsid w:val="00F30C12"/>
    <w:rsid w:val="00F418EC"/>
    <w:rsid w:val="00F5023B"/>
    <w:rsid w:val="00F663D7"/>
    <w:rsid w:val="00F676B0"/>
    <w:rsid w:val="00F67DF1"/>
    <w:rsid w:val="00F7520A"/>
    <w:rsid w:val="00F75DD1"/>
    <w:rsid w:val="00F97363"/>
    <w:rsid w:val="00F978B5"/>
    <w:rsid w:val="00FA4B87"/>
    <w:rsid w:val="00FA58D9"/>
    <w:rsid w:val="00FA692C"/>
    <w:rsid w:val="00FA70BA"/>
    <w:rsid w:val="00FB0D08"/>
    <w:rsid w:val="00FB18B8"/>
    <w:rsid w:val="00FB28FF"/>
    <w:rsid w:val="00FC7756"/>
    <w:rsid w:val="00FE33B7"/>
    <w:rsid w:val="00FE4CC4"/>
    <w:rsid w:val="00FE79B9"/>
    <w:rsid w:val="00FF2243"/>
    <w:rsid w:val="63402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nhideWhenUsed="0" w:uiPriority="0" w:semiHidden="0" w:name="Normal Indent"/>
    <w:lsdException w:uiPriority="0" w:name="footnote text"/>
    <w:lsdException w:uiPriority="0" w:name="annotation text"/>
    <w:lsdException w:unhideWhenUsed="0" w:uiPriority="0" w:semiHidden="0" w:name="header"/>
    <w:lsdException w:unhideWhenUsed="0" w:uiPriority="99"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nhideWhenUsed="0" w:uiPriority="0" w:semiHidden="0" w:name="Block Text"/>
    <w:lsdException w:unhideWhenUsed="0" w:uiPriority="99" w:semiHidden="0" w:name="Hyperlink"/>
    <w:lsdException w:uiPriority="99" w:semiHidden="0" w:name="FollowedHyperlink"/>
    <w:lsdException w:qFormat="1" w:unhideWhenUsed="0" w:uiPriority="0" w:semiHidden="0" w:name="Strong"/>
    <w:lsdException w:qFormat="1" w:unhideWhenUsed="0" w:uiPriority="2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tLeast"/>
    </w:pPr>
    <w:rPr>
      <w:rFonts w:ascii="Times New Roman" w:hAnsi="Times New Roman" w:eastAsia="宋体" w:cs="Times New Roman"/>
      <w:sz w:val="21"/>
      <w:lang w:val="en-GB" w:eastAsia="zh-CN" w:bidi="ar-SA"/>
    </w:rPr>
  </w:style>
  <w:style w:type="paragraph" w:styleId="2">
    <w:name w:val="heading 1"/>
    <w:next w:val="3"/>
    <w:link w:val="28"/>
    <w:autoRedefine/>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link w:val="29"/>
    <w:autoRedefine/>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link w:val="34"/>
    <w:autoRedefine/>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link w:val="38"/>
    <w:qFormat/>
    <w:uiPriority w:val="0"/>
    <w:pPr>
      <w:keepNext/>
      <w:numPr>
        <w:ilvl w:val="3"/>
        <w:numId w:val="1"/>
      </w:numPr>
      <w:spacing w:before="240" w:after="60"/>
      <w:outlineLvl w:val="3"/>
    </w:pPr>
    <w:rPr>
      <w:b/>
      <w:bCs/>
      <w:szCs w:val="28"/>
    </w:rPr>
  </w:style>
  <w:style w:type="paragraph" w:styleId="7">
    <w:name w:val="heading 5"/>
    <w:basedOn w:val="1"/>
    <w:next w:val="1"/>
    <w:link w:val="39"/>
    <w:qFormat/>
    <w:uiPriority w:val="0"/>
    <w:pPr>
      <w:numPr>
        <w:ilvl w:val="4"/>
        <w:numId w:val="1"/>
      </w:numPr>
      <w:spacing w:before="240" w:after="60"/>
      <w:outlineLvl w:val="4"/>
    </w:pPr>
    <w:rPr>
      <w:b/>
      <w:bCs/>
      <w:iCs/>
      <w:szCs w:val="26"/>
    </w:rPr>
  </w:style>
  <w:style w:type="paragraph" w:styleId="8">
    <w:name w:val="heading 6"/>
    <w:basedOn w:val="1"/>
    <w:next w:val="1"/>
    <w:link w:val="40"/>
    <w:qFormat/>
    <w:uiPriority w:val="0"/>
    <w:pPr>
      <w:numPr>
        <w:ilvl w:val="5"/>
        <w:numId w:val="1"/>
      </w:numPr>
      <w:spacing w:before="240" w:after="60"/>
      <w:outlineLvl w:val="5"/>
    </w:pPr>
    <w:rPr>
      <w:b/>
      <w:bCs/>
      <w:szCs w:val="22"/>
    </w:rPr>
  </w:style>
  <w:style w:type="paragraph" w:styleId="9">
    <w:name w:val="heading 7"/>
    <w:basedOn w:val="1"/>
    <w:next w:val="1"/>
    <w:link w:val="41"/>
    <w:qFormat/>
    <w:uiPriority w:val="0"/>
    <w:pPr>
      <w:numPr>
        <w:ilvl w:val="6"/>
        <w:numId w:val="1"/>
      </w:numPr>
      <w:spacing w:before="240" w:after="60"/>
      <w:outlineLvl w:val="6"/>
    </w:pPr>
    <w:rPr>
      <w:sz w:val="24"/>
      <w:szCs w:val="24"/>
    </w:rPr>
  </w:style>
  <w:style w:type="paragraph" w:styleId="10">
    <w:name w:val="heading 8"/>
    <w:basedOn w:val="1"/>
    <w:next w:val="1"/>
    <w:link w:val="42"/>
    <w:qFormat/>
    <w:uiPriority w:val="0"/>
    <w:pPr>
      <w:numPr>
        <w:ilvl w:val="7"/>
        <w:numId w:val="1"/>
      </w:numPr>
      <w:spacing w:before="240" w:after="60"/>
      <w:outlineLvl w:val="7"/>
    </w:pPr>
    <w:rPr>
      <w:i/>
      <w:iCs/>
      <w:sz w:val="24"/>
      <w:szCs w:val="24"/>
    </w:rPr>
  </w:style>
  <w:style w:type="paragraph" w:styleId="11">
    <w:name w:val="heading 9"/>
    <w:basedOn w:val="1"/>
    <w:next w:val="1"/>
    <w:link w:val="43"/>
    <w:qFormat/>
    <w:uiPriority w:val="0"/>
    <w:pPr>
      <w:numPr>
        <w:ilvl w:val="8"/>
        <w:numId w:val="1"/>
      </w:numPr>
      <w:spacing w:before="240" w:after="60"/>
      <w:outlineLvl w:val="8"/>
    </w:pPr>
    <w:rPr>
      <w:rFonts w:ascii="Arial" w:hAnsi="Arial" w:cs="Arial"/>
      <w:sz w:val="22"/>
      <w:szCs w:val="22"/>
    </w:rPr>
  </w:style>
  <w:style w:type="character" w:default="1" w:styleId="24">
    <w:name w:val="Default Paragraph Font"/>
    <w:semiHidden/>
    <w:unhideWhenUsed/>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3">
    <w:name w:val="Block Tex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Normal Indent"/>
    <w:basedOn w:val="1"/>
    <w:link w:val="32"/>
    <w:uiPriority w:val="0"/>
    <w:pPr>
      <w:adjustRightInd w:val="0"/>
      <w:spacing w:before="50" w:beforeLines="50" w:line="315" w:lineRule="atLeast"/>
      <w:ind w:left="420" w:firstLine="420"/>
      <w:jc w:val="both"/>
      <w:textAlignment w:val="baseline"/>
    </w:pPr>
    <w:rPr>
      <w:rFonts w:ascii="宋体"/>
      <w:lang w:val="en-US"/>
    </w:rPr>
  </w:style>
  <w:style w:type="paragraph" w:styleId="13">
    <w:name w:val="caption"/>
    <w:basedOn w:val="1"/>
    <w:next w:val="1"/>
    <w:unhideWhenUsed/>
    <w:qFormat/>
    <w:uiPriority w:val="0"/>
    <w:rPr>
      <w:rFonts w:ascii="Cambria" w:hAnsi="Cambria" w:eastAsia="黑体"/>
      <w:sz w:val="20"/>
    </w:rPr>
  </w:style>
  <w:style w:type="paragraph" w:styleId="14">
    <w:name w:val="Document Map"/>
    <w:basedOn w:val="1"/>
    <w:link w:val="45"/>
    <w:semiHidden/>
    <w:uiPriority w:val="0"/>
    <w:pPr>
      <w:shd w:val="clear" w:color="auto" w:fill="000080"/>
    </w:pPr>
  </w:style>
  <w:style w:type="paragraph" w:styleId="15">
    <w:name w:val="Body Text Indent"/>
    <w:basedOn w:val="1"/>
    <w:link w:val="46"/>
    <w:uiPriority w:val="0"/>
    <w:pPr>
      <w:widowControl w:val="0"/>
      <w:spacing w:line="400" w:lineRule="exact"/>
      <w:ind w:firstLine="480" w:firstLineChars="200"/>
      <w:jc w:val="both"/>
    </w:pPr>
    <w:rPr>
      <w:rFonts w:ascii="微软雅黑" w:hAnsi="微软雅黑" w:eastAsia="微软雅黑" w:cstheme="minorBidi"/>
      <w:kern w:val="2"/>
      <w:sz w:val="24"/>
      <w:szCs w:val="24"/>
      <w:lang w:val="en-US"/>
    </w:rPr>
  </w:style>
  <w:style w:type="paragraph" w:styleId="16">
    <w:name w:val="toc 3"/>
    <w:basedOn w:val="1"/>
    <w:next w:val="1"/>
    <w:autoRedefine/>
    <w:uiPriority w:val="39"/>
    <w:pPr>
      <w:tabs>
        <w:tab w:val="left" w:pos="900"/>
        <w:tab w:val="left" w:pos="1260"/>
        <w:tab w:val="right" w:leader="dot" w:pos="9360"/>
      </w:tabs>
      <w:ind w:left="210" w:firstLine="210" w:firstLineChars="100"/>
    </w:pPr>
    <w:rPr>
      <w:kern w:val="2"/>
      <w:szCs w:val="24"/>
      <w:lang w:val="en-US"/>
    </w:rPr>
  </w:style>
  <w:style w:type="paragraph" w:styleId="17">
    <w:name w:val="Balloon Text"/>
    <w:basedOn w:val="1"/>
    <w:link w:val="35"/>
    <w:uiPriority w:val="0"/>
    <w:pPr>
      <w:spacing w:line="240" w:lineRule="auto"/>
    </w:pPr>
    <w:rPr>
      <w:sz w:val="18"/>
      <w:szCs w:val="18"/>
    </w:rPr>
  </w:style>
  <w:style w:type="paragraph" w:styleId="18">
    <w:name w:val="footer"/>
    <w:basedOn w:val="1"/>
    <w:link w:val="30"/>
    <w:uiPriority w:val="99"/>
    <w:pPr>
      <w:tabs>
        <w:tab w:val="center" w:pos="4153"/>
        <w:tab w:val="right" w:pos="8306"/>
      </w:tabs>
      <w:snapToGrid w:val="0"/>
    </w:pPr>
    <w:rPr>
      <w:szCs w:val="18"/>
    </w:rPr>
  </w:style>
  <w:style w:type="paragraph" w:styleId="19">
    <w:name w:val="header"/>
    <w:basedOn w:val="1"/>
    <w:link w:val="44"/>
    <w:uiPriority w:val="0"/>
    <w:pPr>
      <w:pBdr>
        <w:bottom w:val="single" w:color="auto" w:sz="6" w:space="1"/>
      </w:pBdr>
      <w:tabs>
        <w:tab w:val="center" w:pos="4153"/>
        <w:tab w:val="right" w:pos="8306"/>
      </w:tabs>
      <w:snapToGrid w:val="0"/>
      <w:jc w:val="center"/>
    </w:pPr>
    <w:rPr>
      <w:szCs w:val="18"/>
    </w:rPr>
  </w:style>
  <w:style w:type="paragraph" w:styleId="20">
    <w:name w:val="toc 1"/>
    <w:basedOn w:val="1"/>
    <w:next w:val="1"/>
    <w:autoRedefine/>
    <w:uiPriority w:val="39"/>
    <w:pPr>
      <w:tabs>
        <w:tab w:val="left" w:leader="dot" w:pos="180"/>
        <w:tab w:val="left" w:pos="420"/>
        <w:tab w:val="right" w:leader="dot" w:pos="9360"/>
      </w:tabs>
    </w:pPr>
    <w:rPr>
      <w:b/>
      <w:bCs/>
      <w:kern w:val="2"/>
      <w:szCs w:val="24"/>
      <w:lang w:val="en-US"/>
    </w:rPr>
  </w:style>
  <w:style w:type="paragraph" w:styleId="21">
    <w:name w:val="toc 2"/>
    <w:basedOn w:val="1"/>
    <w:next w:val="1"/>
    <w:autoRedefine/>
    <w:uiPriority w:val="39"/>
    <w:pPr>
      <w:tabs>
        <w:tab w:val="left" w:pos="540"/>
        <w:tab w:val="left" w:pos="840"/>
        <w:tab w:val="right" w:leader="dot" w:pos="9360"/>
      </w:tabs>
      <w:ind w:left="200"/>
    </w:pPr>
    <w:rPr>
      <w:kern w:val="2"/>
      <w:szCs w:val="24"/>
      <w:lang w:val="en-US"/>
    </w:rPr>
  </w:style>
  <w:style w:type="table" w:styleId="23">
    <w:name w:val="Table Grid"/>
    <w:basedOn w:val="22"/>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FollowedHyperlink"/>
    <w:unhideWhenUsed/>
    <w:uiPriority w:val="99"/>
    <w:rPr>
      <w:color w:val="800080"/>
      <w:u w:val="single"/>
    </w:rPr>
  </w:style>
  <w:style w:type="character" w:styleId="26">
    <w:name w:val="Emphasis"/>
    <w:qFormat/>
    <w:uiPriority w:val="20"/>
    <w:rPr>
      <w:color w:val="CC0000"/>
    </w:rPr>
  </w:style>
  <w:style w:type="character" w:styleId="27">
    <w:name w:val="Hyperlink"/>
    <w:uiPriority w:val="99"/>
    <w:rPr>
      <w:color w:val="0000FF"/>
      <w:u w:val="single"/>
    </w:rPr>
  </w:style>
  <w:style w:type="character" w:customStyle="1" w:styleId="28">
    <w:name w:val="标题 1 字符"/>
    <w:link w:val="2"/>
    <w:uiPriority w:val="0"/>
    <w:rPr>
      <w:b/>
      <w:bCs/>
      <w:kern w:val="32"/>
      <w:sz w:val="28"/>
      <w:szCs w:val="28"/>
    </w:rPr>
  </w:style>
  <w:style w:type="character" w:customStyle="1" w:styleId="29">
    <w:name w:val="标题 2 字符"/>
    <w:link w:val="4"/>
    <w:uiPriority w:val="0"/>
    <w:rPr>
      <w:rFonts w:ascii="宋体" w:cs="Arial"/>
      <w:b/>
      <w:bCs/>
      <w:iCs/>
      <w:color w:val="000000"/>
      <w:sz w:val="24"/>
      <w:szCs w:val="24"/>
    </w:rPr>
  </w:style>
  <w:style w:type="character" w:customStyle="1" w:styleId="30">
    <w:name w:val="页脚 字符"/>
    <w:link w:val="18"/>
    <w:uiPriority w:val="99"/>
    <w:rPr>
      <w:sz w:val="21"/>
      <w:szCs w:val="18"/>
      <w:lang w:val="en-GB"/>
    </w:rPr>
  </w:style>
  <w:style w:type="paragraph" w:customStyle="1" w:styleId="31">
    <w:name w:val="lj正文"/>
    <w:qFormat/>
    <w:uiPriority w:val="0"/>
    <w:pPr>
      <w:shd w:val="clear" w:color="auto" w:fill="FFFFFF"/>
      <w:spacing w:line="360" w:lineRule="auto"/>
      <w:ind w:firstLine="200" w:firstLineChars="200"/>
    </w:pPr>
    <w:rPr>
      <w:rFonts w:ascii="宋体" w:hAnsi="宋体" w:eastAsia="宋体" w:cs="Times New Roman"/>
      <w:color w:val="000000"/>
      <w:sz w:val="24"/>
      <w:szCs w:val="24"/>
      <w:lang w:val="en-US" w:eastAsia="zh-CN" w:bidi="ar-SA"/>
    </w:rPr>
  </w:style>
  <w:style w:type="character" w:customStyle="1" w:styleId="32">
    <w:name w:val="正文缩进 字符"/>
    <w:link w:val="12"/>
    <w:uiPriority w:val="0"/>
    <w:rPr>
      <w:rFonts w:ascii="宋体"/>
      <w:sz w:val="21"/>
    </w:rPr>
  </w:style>
  <w:style w:type="paragraph" w:styleId="33">
    <w:name w:val="List Paragraph"/>
    <w:basedOn w:val="1"/>
    <w:qFormat/>
    <w:uiPriority w:val="34"/>
    <w:pPr>
      <w:spacing w:before="50" w:beforeLines="50" w:line="240" w:lineRule="auto"/>
      <w:ind w:left="420" w:firstLine="420" w:firstLineChars="200"/>
      <w:jc w:val="both"/>
    </w:pPr>
    <w:rPr>
      <w:rFonts w:ascii="Calibri" w:hAnsi="Calibri"/>
      <w:kern w:val="2"/>
      <w:szCs w:val="22"/>
      <w:lang w:val="en-US"/>
    </w:rPr>
  </w:style>
  <w:style w:type="character" w:customStyle="1" w:styleId="34">
    <w:name w:val="标题 3 字符"/>
    <w:link w:val="5"/>
    <w:uiPriority w:val="0"/>
    <w:rPr>
      <w:rFonts w:ascii="宋体" w:hAnsi="宋体" w:cs="Arial"/>
      <w:b/>
      <w:bCs/>
      <w:sz w:val="21"/>
      <w:szCs w:val="21"/>
    </w:rPr>
  </w:style>
  <w:style w:type="character" w:customStyle="1" w:styleId="35">
    <w:name w:val="批注框文本 字符"/>
    <w:link w:val="17"/>
    <w:uiPriority w:val="0"/>
    <w:rPr>
      <w:sz w:val="18"/>
      <w:szCs w:val="18"/>
      <w:lang w:val="en-GB"/>
    </w:rPr>
  </w:style>
  <w:style w:type="character" w:styleId="36">
    <w:name w:val="Placeholder Text"/>
    <w:semiHidden/>
    <w:uiPriority w:val="99"/>
    <w:rPr>
      <w:color w:val="808080"/>
    </w:rPr>
  </w:style>
  <w:style w:type="paragraph" w:styleId="37">
    <w:name w:val="No Spacing"/>
    <w:qFormat/>
    <w:uiPriority w:val="1"/>
    <w:rPr>
      <w:rFonts w:ascii="Times New Roman" w:hAnsi="Times New Roman" w:eastAsia="宋体" w:cs="Times New Roman"/>
      <w:sz w:val="21"/>
      <w:lang w:val="en-GB" w:eastAsia="zh-CN" w:bidi="ar-SA"/>
    </w:rPr>
  </w:style>
  <w:style w:type="character" w:customStyle="1" w:styleId="38">
    <w:name w:val="标题 4 字符"/>
    <w:link w:val="6"/>
    <w:uiPriority w:val="0"/>
    <w:rPr>
      <w:b/>
      <w:bCs/>
      <w:sz w:val="21"/>
      <w:szCs w:val="28"/>
      <w:lang w:val="en-GB"/>
    </w:rPr>
  </w:style>
  <w:style w:type="character" w:customStyle="1" w:styleId="39">
    <w:name w:val="标题 5 字符"/>
    <w:link w:val="7"/>
    <w:uiPriority w:val="0"/>
    <w:rPr>
      <w:b/>
      <w:bCs/>
      <w:iCs/>
      <w:sz w:val="21"/>
      <w:szCs w:val="26"/>
      <w:lang w:val="en-GB"/>
    </w:rPr>
  </w:style>
  <w:style w:type="character" w:customStyle="1" w:styleId="40">
    <w:name w:val="标题 6 字符"/>
    <w:link w:val="8"/>
    <w:uiPriority w:val="0"/>
    <w:rPr>
      <w:b/>
      <w:bCs/>
      <w:sz w:val="21"/>
      <w:szCs w:val="22"/>
      <w:lang w:val="en-GB"/>
    </w:rPr>
  </w:style>
  <w:style w:type="character" w:customStyle="1" w:styleId="41">
    <w:name w:val="标题 7 字符"/>
    <w:link w:val="9"/>
    <w:uiPriority w:val="0"/>
    <w:rPr>
      <w:sz w:val="24"/>
      <w:szCs w:val="24"/>
      <w:lang w:val="en-GB"/>
    </w:rPr>
  </w:style>
  <w:style w:type="character" w:customStyle="1" w:styleId="42">
    <w:name w:val="标题 8 字符"/>
    <w:link w:val="10"/>
    <w:uiPriority w:val="0"/>
    <w:rPr>
      <w:i/>
      <w:iCs/>
      <w:sz w:val="24"/>
      <w:szCs w:val="24"/>
      <w:lang w:val="en-GB"/>
    </w:rPr>
  </w:style>
  <w:style w:type="character" w:customStyle="1" w:styleId="43">
    <w:name w:val="标题 9 字符"/>
    <w:link w:val="11"/>
    <w:uiPriority w:val="0"/>
    <w:rPr>
      <w:rFonts w:ascii="Arial" w:hAnsi="Arial" w:cs="Arial"/>
      <w:sz w:val="22"/>
      <w:szCs w:val="22"/>
      <w:lang w:val="en-GB"/>
    </w:rPr>
  </w:style>
  <w:style w:type="character" w:customStyle="1" w:styleId="44">
    <w:name w:val="页眉 字符"/>
    <w:link w:val="19"/>
    <w:uiPriority w:val="0"/>
    <w:rPr>
      <w:sz w:val="21"/>
      <w:szCs w:val="18"/>
      <w:lang w:val="en-GB"/>
    </w:rPr>
  </w:style>
  <w:style w:type="character" w:customStyle="1" w:styleId="45">
    <w:name w:val="文档结构图 字符"/>
    <w:link w:val="14"/>
    <w:semiHidden/>
    <w:uiPriority w:val="0"/>
    <w:rPr>
      <w:sz w:val="21"/>
      <w:shd w:val="clear" w:color="auto" w:fill="000080"/>
      <w:lang w:val="en-GB"/>
    </w:rPr>
  </w:style>
  <w:style w:type="character" w:customStyle="1" w:styleId="46">
    <w:name w:val="正文文本缩进 字符"/>
    <w:basedOn w:val="24"/>
    <w:link w:val="15"/>
    <w:uiPriority w:val="0"/>
    <w:rPr>
      <w:rFonts w:ascii="微软雅黑" w:hAnsi="微软雅黑" w:eastAsia="微软雅黑" w:cstheme="minorBidi"/>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bmp"/><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9" Type="http://schemas.openxmlformats.org/officeDocument/2006/relationships/fontTable" Target="fontTable.xml"/><Relationship Id="rId58" Type="http://schemas.openxmlformats.org/officeDocument/2006/relationships/customXml" Target="../customXml/item1.xml"/><Relationship Id="rId57" Type="http://schemas.openxmlformats.org/officeDocument/2006/relationships/numbering" Target="numbering.xml"/><Relationship Id="rId56" Type="http://schemas.openxmlformats.org/officeDocument/2006/relationships/image" Target="media/image49.png"/><Relationship Id="rId55" Type="http://schemas.openxmlformats.org/officeDocument/2006/relationships/image" Target="media/image48.png"/><Relationship Id="rId54" Type="http://schemas.openxmlformats.org/officeDocument/2006/relationships/image" Target="media/image47.png"/><Relationship Id="rId53" Type="http://schemas.openxmlformats.org/officeDocument/2006/relationships/image" Target="media/image46.wmf"/><Relationship Id="rId52" Type="http://schemas.openxmlformats.org/officeDocument/2006/relationships/image" Target="media/image45.wmf"/><Relationship Id="rId51" Type="http://schemas.openxmlformats.org/officeDocument/2006/relationships/image" Target="media/image44.wmf"/><Relationship Id="rId50" Type="http://schemas.openxmlformats.org/officeDocument/2006/relationships/image" Target="media/image43.wmf"/><Relationship Id="rId5" Type="http://schemas.openxmlformats.org/officeDocument/2006/relationships/header" Target="header1.xml"/><Relationship Id="rId49" Type="http://schemas.openxmlformats.org/officeDocument/2006/relationships/image" Target="media/image42.wmf"/><Relationship Id="rId48" Type="http://schemas.openxmlformats.org/officeDocument/2006/relationships/image" Target="media/image41.wmf"/><Relationship Id="rId47" Type="http://schemas.openxmlformats.org/officeDocument/2006/relationships/image" Target="media/image40.wmf"/><Relationship Id="rId46" Type="http://schemas.openxmlformats.org/officeDocument/2006/relationships/image" Target="media/image39.wmf"/><Relationship Id="rId45" Type="http://schemas.openxmlformats.org/officeDocument/2006/relationships/image" Target="media/image38.wmf"/><Relationship Id="rId44" Type="http://schemas.openxmlformats.org/officeDocument/2006/relationships/image" Target="media/image37.wmf"/><Relationship Id="rId43" Type="http://schemas.openxmlformats.org/officeDocument/2006/relationships/image" Target="media/image36.wmf"/><Relationship Id="rId42" Type="http://schemas.openxmlformats.org/officeDocument/2006/relationships/image" Target="media/image35.wmf"/><Relationship Id="rId41" Type="http://schemas.openxmlformats.org/officeDocument/2006/relationships/image" Target="media/image34.wmf"/><Relationship Id="rId40" Type="http://schemas.openxmlformats.org/officeDocument/2006/relationships/image" Target="media/image33.wmf"/><Relationship Id="rId4" Type="http://schemas.openxmlformats.org/officeDocument/2006/relationships/endnotes" Target="endnotes.xml"/><Relationship Id="rId39" Type="http://schemas.openxmlformats.org/officeDocument/2006/relationships/image" Target="media/image32.wmf"/><Relationship Id="rId38" Type="http://schemas.openxmlformats.org/officeDocument/2006/relationships/image" Target="media/image31.wmf"/><Relationship Id="rId37" Type="http://schemas.openxmlformats.org/officeDocument/2006/relationships/image" Target="media/image30.wmf"/><Relationship Id="rId36" Type="http://schemas.openxmlformats.org/officeDocument/2006/relationships/image" Target="media/image29.wmf"/><Relationship Id="rId35" Type="http://schemas.openxmlformats.org/officeDocument/2006/relationships/image" Target="media/image28.wmf"/><Relationship Id="rId34" Type="http://schemas.openxmlformats.org/officeDocument/2006/relationships/image" Target="media/image27.wmf"/><Relationship Id="rId33" Type="http://schemas.openxmlformats.org/officeDocument/2006/relationships/image" Target="media/image26.wmf"/><Relationship Id="rId32" Type="http://schemas.openxmlformats.org/officeDocument/2006/relationships/image" Target="media/image25.wmf"/><Relationship Id="rId31" Type="http://schemas.openxmlformats.org/officeDocument/2006/relationships/image" Target="media/image24.wmf"/><Relationship Id="rId30" Type="http://schemas.openxmlformats.org/officeDocument/2006/relationships/image" Target="media/image23.wmf"/><Relationship Id="rId3" Type="http://schemas.openxmlformats.org/officeDocument/2006/relationships/footnotes" Target="footnotes.xml"/><Relationship Id="rId29" Type="http://schemas.openxmlformats.org/officeDocument/2006/relationships/image" Target="media/image22.wmf"/><Relationship Id="rId28" Type="http://schemas.openxmlformats.org/officeDocument/2006/relationships/image" Target="media/image21.wmf"/><Relationship Id="rId27" Type="http://schemas.openxmlformats.org/officeDocument/2006/relationships/image" Target="media/image20.wmf"/><Relationship Id="rId26" Type="http://schemas.openxmlformats.org/officeDocument/2006/relationships/image" Target="media/image19.wmf"/><Relationship Id="rId25" Type="http://schemas.openxmlformats.org/officeDocument/2006/relationships/image" Target="media/image18.wmf"/><Relationship Id="rId24" Type="http://schemas.openxmlformats.org/officeDocument/2006/relationships/image" Target="media/image17.wmf"/><Relationship Id="rId23" Type="http://schemas.openxmlformats.org/officeDocument/2006/relationships/image" Target="media/image16.wmf"/><Relationship Id="rId22" Type="http://schemas.openxmlformats.org/officeDocument/2006/relationships/image" Target="media/image15.wmf"/><Relationship Id="rId21" Type="http://schemas.openxmlformats.org/officeDocument/2006/relationships/image" Target="media/image14.wmf"/><Relationship Id="rId20" Type="http://schemas.openxmlformats.org/officeDocument/2006/relationships/image" Target="media/image13.wmf"/><Relationship Id="rId2" Type="http://schemas.openxmlformats.org/officeDocument/2006/relationships/settings" Target="settings.xml"/><Relationship Id="rId19" Type="http://schemas.openxmlformats.org/officeDocument/2006/relationships/image" Target="media/image12.wmf"/><Relationship Id="rId18" Type="http://schemas.openxmlformats.org/officeDocument/2006/relationships/image" Target="media/image11.wmf"/><Relationship Id="rId17" Type="http://schemas.openxmlformats.org/officeDocument/2006/relationships/image" Target="media/image10.wmf"/><Relationship Id="rId16" Type="http://schemas.openxmlformats.org/officeDocument/2006/relationships/image" Target="media/image9.wmf"/><Relationship Id="rId15" Type="http://schemas.openxmlformats.org/officeDocument/2006/relationships/image" Target="media/image8.wmf"/><Relationship Id="rId14" Type="http://schemas.openxmlformats.org/officeDocument/2006/relationships/image" Target="media/image7.png"/><Relationship Id="rId13" Type="http://schemas.openxmlformats.org/officeDocument/2006/relationships/image" Target="media/image6.wmf"/><Relationship Id="rId12" Type="http://schemas.openxmlformats.org/officeDocument/2006/relationships/image" Target="media/image5.wmf"/><Relationship Id="rId11" Type="http://schemas.openxmlformats.org/officeDocument/2006/relationships/image" Target="media/image4.wmf"/><Relationship Id="rId10" Type="http://schemas.openxmlformats.org/officeDocument/2006/relationships/image" Target="media/image3.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us\AppData\Local\Temp\tmp3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4509F-619F-475F-98FE-489C46E874B5}">
  <ds:schemaRefs/>
</ds:datastoreItem>
</file>

<file path=docProps/app.xml><?xml version="1.0" encoding="utf-8"?>
<Properties xmlns="http://schemas.openxmlformats.org/officeDocument/2006/extended-properties" xmlns:vt="http://schemas.openxmlformats.org/officeDocument/2006/docPropsVTypes">
  <Template>tmp35.dotx</Template>
  <Pages>12</Pages>
  <Words>1674</Words>
  <Characters>1829</Characters>
  <Lines>18</Lines>
  <Paragraphs>5</Paragraphs>
  <TotalTime>0</TotalTime>
  <ScaleCrop>false</ScaleCrop>
  <LinksUpToDate>false</LinksUpToDate>
  <CharactersWithSpaces>3058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2024-12-28T21:15:00Z</dcterms:created>
  <dc:creator>WPS_1665912166</dc:creator>
  <cp:lastModifiedBy>WPS_1665912166</cp:lastModifiedBy>
  <dcterms:modified xsi:type="dcterms:W3CDTF">2024-12-28T21:16:24Z</dcterms:modified>
  <dc:title>室内气流组织分析报告</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33A33856989D468CBC83F5B58FD77461_11</vt:lpwstr>
  </property>
  <property fmtid="{D5CDD505-2E9C-101B-9397-08002B2CF9AE}" pid="3" name="KSOTemplateDocerSaveRecord">
    <vt:lpwstr>eyJoZGlkIjoiZThmNjAzMWJlZjFkMmQwODUwMTJkYzE2ODFiYmFmYTciLCJ1c2VySWQiOiIxNDI4NTUzMDY1In0=</vt:lpwstr>
  </property>
  <property fmtid="{D5CDD505-2E9C-101B-9397-08002B2CF9AE}" pid="4" name="KSOProductBuildVer">
    <vt:lpwstr>2052-12.1.0.19770</vt:lpwstr>
  </property>
</Properties>
</file>