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E435" w14:textId="77777777" w:rsidR="009E76B8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</w:t>
      </w:r>
      <w:r>
        <w:rPr>
          <w:rFonts w:eastAsiaTheme="minorEastAsia"/>
          <w:sz w:val="24"/>
          <w:szCs w:val="40"/>
        </w:rPr>
        <w:t>9</w:t>
      </w:r>
      <w:r>
        <w:rPr>
          <w:rFonts w:eastAsiaTheme="minorEastAsia"/>
          <w:sz w:val="24"/>
          <w:szCs w:val="40"/>
        </w:rPr>
        <w:t>分）</w:t>
      </w:r>
    </w:p>
    <w:p w14:paraId="31BE7B21" w14:textId="77777777" w:rsidR="009E76B8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887"/>
        <w:gridCol w:w="2363"/>
        <w:gridCol w:w="1533"/>
        <w:gridCol w:w="1298"/>
      </w:tblGrid>
      <w:tr w:rsidR="009E76B8" w14:paraId="5083D506" w14:textId="77777777">
        <w:trPr>
          <w:jc w:val="center"/>
        </w:trPr>
        <w:tc>
          <w:tcPr>
            <w:tcW w:w="456" w:type="pct"/>
            <w:vAlign w:val="center"/>
          </w:tcPr>
          <w:p w14:paraId="73866B77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06D5A334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4CE2B5D1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3065E80C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9E76B8" w14:paraId="0514416D" w14:textId="77777777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14:paraId="6C9017A6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6EE83EA7" w14:textId="77777777" w:rsidR="009E76B8" w:rsidRDefault="000000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5EB8768A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65A87F4C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Content>
            <w:tc>
              <w:tcPr>
                <w:tcW w:w="833" w:type="pct"/>
                <w:vMerge w:val="restart"/>
                <w:vAlign w:val="center"/>
              </w:tcPr>
              <w:p w14:paraId="0C28676C" w14:textId="77777777" w:rsidR="009E76B8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3 </w:t>
                </w:r>
              </w:p>
            </w:tc>
          </w:sdtContent>
        </w:sdt>
      </w:tr>
      <w:tr w:rsidR="009E76B8" w14:paraId="3B81B5E4" w14:textId="77777777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751EA5FF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33D318B4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44678EFA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53E4E1A3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14:paraId="0EB11BBC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76B8" w14:paraId="0955B226" w14:textId="77777777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7A2BC750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7C8A3FF2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5EC418BB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23F5947A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14:paraId="1F4DDE4B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76B8" w14:paraId="516CD73B" w14:textId="77777777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37A0198C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1400DD1D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002F5F6E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346CB3C9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14:paraId="493A0208" w14:textId="77777777" w:rsidR="009E76B8" w:rsidRDefault="009E76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76B8" w14:paraId="6DB7B73F" w14:textId="77777777">
        <w:trPr>
          <w:trHeight w:val="78"/>
          <w:jc w:val="center"/>
        </w:trPr>
        <w:tc>
          <w:tcPr>
            <w:tcW w:w="456" w:type="pct"/>
            <w:vAlign w:val="center"/>
          </w:tcPr>
          <w:p w14:paraId="5789C29B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5AFB9BC9" w14:textId="77777777" w:rsidR="009E76B8" w:rsidRDefault="000000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14:paraId="019441F1" w14:textId="77777777" w:rsidR="009E76B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Content>
            <w:tc>
              <w:tcPr>
                <w:tcW w:w="833" w:type="pct"/>
                <w:vAlign w:val="center"/>
              </w:tcPr>
              <w:p w14:paraId="2FB27ED0" w14:textId="77777777" w:rsidR="009E76B8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BFDCE61" w14:textId="77777777" w:rsidR="009E76B8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12E3436C" w14:textId="77777777" w:rsidR="009E76B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E76B8" w14:paraId="5741367D" w14:textId="77777777">
        <w:trPr>
          <w:trHeight w:val="1136"/>
          <w:jc w:val="center"/>
        </w:trPr>
        <w:tc>
          <w:tcPr>
            <w:tcW w:w="9356" w:type="dxa"/>
          </w:tcPr>
          <w:p w14:paraId="339E3417" w14:textId="77777777" w:rsidR="009E76B8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项目采用外遮阳百叶和内遮阳窗帘。外遮阳百叶安装于建筑外立面窗户顶部，可根据阳光角度调节开合，阻挡直射强光。内遮阳窗帘设置在室内窗户内侧，用于灵活调节室内光线，在需要隐私或减弱漫射光时使用。</w:t>
            </w:r>
          </w:p>
        </w:tc>
      </w:tr>
    </w:tbl>
    <w:p w14:paraId="7BD434F8" w14:textId="77777777" w:rsidR="009E76B8" w:rsidRDefault="00000000">
      <w:r>
        <w:rPr>
          <w:rFonts w:hint="eastAsia"/>
        </w:rPr>
        <w:t>采取可控遮阳的面积统计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613"/>
        <w:gridCol w:w="1556"/>
        <w:gridCol w:w="1330"/>
        <w:gridCol w:w="1103"/>
        <w:gridCol w:w="1443"/>
        <w:gridCol w:w="1273"/>
      </w:tblGrid>
      <w:tr w:rsidR="009E76B8" w14:paraId="166D450D" w14:textId="77777777">
        <w:trPr>
          <w:trHeight w:val="284"/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7010CF3" w14:textId="77777777" w:rsidR="009E76B8" w:rsidRDefault="00000000">
            <w:pPr>
              <w:jc w:val="center"/>
            </w:pPr>
            <w:r>
              <w:t>朝向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E5A8DB0" w14:textId="77777777" w:rsidR="009E76B8" w:rsidRDefault="00000000">
            <w:pPr>
              <w:jc w:val="center"/>
            </w:pPr>
            <w:r>
              <w:t>外窗（含透光幕墙）面积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FA5063" w14:textId="77777777" w:rsidR="009E76B8" w:rsidRDefault="00000000">
            <w:pPr>
              <w:jc w:val="center"/>
            </w:pPr>
            <w:r>
              <w:t>可调节</w:t>
            </w:r>
            <w:r>
              <w:t xml:space="preserve">     </w:t>
            </w:r>
            <w:r>
              <w:t>遮阳设施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7EAA954" w14:textId="77777777" w:rsidR="009E76B8" w:rsidRDefault="00000000">
            <w:pPr>
              <w:jc w:val="center"/>
            </w:pPr>
            <w:r>
              <w:t>遮阳设施</w:t>
            </w:r>
            <w:r>
              <w:t xml:space="preserve">  </w:t>
            </w:r>
            <w:r>
              <w:t>应用面积</w:t>
            </w:r>
            <w:r>
              <w:t>Sz0 (</w:t>
            </w:r>
            <w:r>
              <w:t>㎡</w:t>
            </w:r>
            <w:r>
              <w:t>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706EBA4E" w14:textId="77777777" w:rsidR="009E76B8" w:rsidRDefault="00000000">
            <w:pPr>
              <w:jc w:val="center"/>
            </w:pPr>
            <w:r>
              <w:t>遮阳方式修正系数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2EE246A" w14:textId="77777777" w:rsidR="009E76B8" w:rsidRDefault="00000000">
            <w:pPr>
              <w:jc w:val="center"/>
            </w:pPr>
            <w:r>
              <w:t>遮阳设施的面积</w:t>
            </w:r>
            <w:r>
              <w:t>Sz 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F7EDDE" w14:textId="77777777" w:rsidR="009E76B8" w:rsidRDefault="00000000">
            <w:pPr>
              <w:jc w:val="center"/>
            </w:pPr>
            <w:r>
              <w:t>遮阳设施</w:t>
            </w:r>
            <w:r>
              <w:t xml:space="preserve"> </w:t>
            </w:r>
            <w:r>
              <w:t>占比（</w:t>
            </w:r>
            <w:r>
              <w:t>%</w:t>
            </w:r>
            <w:r>
              <w:t>）</w:t>
            </w:r>
          </w:p>
        </w:tc>
      </w:tr>
      <w:tr w:rsidR="009E76B8" w14:paraId="55C28B26" w14:textId="77777777">
        <w:trPr>
          <w:trHeight w:val="28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8FED0AC" w14:textId="77777777" w:rsidR="009E76B8" w:rsidRDefault="00000000">
            <w:r>
              <w:t>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298453A" w14:textId="77777777" w:rsidR="009E76B8" w:rsidRDefault="00000000">
            <w:r>
              <w:t>308.00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A4ADE5" w14:textId="77777777" w:rsidR="009E76B8" w:rsidRDefault="00000000">
            <w:r>
              <w:t>中置百叶遮阳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AFEC46" w14:textId="77777777" w:rsidR="009E76B8" w:rsidRDefault="00000000">
            <w:r>
              <w:t>308.00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6084193" w14:textId="77777777" w:rsidR="009E76B8" w:rsidRDefault="00000000">
            <w:r>
              <w:t>1.0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5C87FE5" w14:textId="77777777" w:rsidR="009E76B8" w:rsidRDefault="00000000">
            <w:r>
              <w:t>308.00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7DF1F5A" w14:textId="77777777" w:rsidR="009E76B8" w:rsidRDefault="00000000">
            <w:r>
              <w:t>100</w:t>
            </w:r>
          </w:p>
        </w:tc>
      </w:tr>
      <w:tr w:rsidR="009E76B8" w14:paraId="40EDA968" w14:textId="77777777">
        <w:trPr>
          <w:trHeight w:val="28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3610746" w14:textId="77777777" w:rsidR="009E76B8" w:rsidRDefault="00000000">
            <w:r>
              <w:t>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C60D36E" w14:textId="77777777" w:rsidR="009E76B8" w:rsidRDefault="00000000">
            <w:r>
              <w:t>558.55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99C1C59" w14:textId="77777777" w:rsidR="009E76B8" w:rsidRDefault="00000000">
            <w:r>
              <w:t>中置百叶遮阳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F83FB3" w14:textId="77777777" w:rsidR="009E76B8" w:rsidRDefault="00000000">
            <w:r>
              <w:t>558.55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2B086CE" w14:textId="77777777" w:rsidR="009E76B8" w:rsidRDefault="00000000">
            <w:r>
              <w:t>1.0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93038F8" w14:textId="77777777" w:rsidR="009E76B8" w:rsidRDefault="00000000">
            <w:r>
              <w:t>558.55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A065B69" w14:textId="77777777" w:rsidR="009E76B8" w:rsidRDefault="00000000">
            <w:r>
              <w:t>100</w:t>
            </w:r>
          </w:p>
        </w:tc>
      </w:tr>
      <w:tr w:rsidR="009E76B8" w14:paraId="43B91D0E" w14:textId="77777777">
        <w:trPr>
          <w:trHeight w:val="28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888C196" w14:textId="77777777" w:rsidR="009E76B8" w:rsidRDefault="00000000">
            <w:r>
              <w:t>东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1778A49" w14:textId="77777777" w:rsidR="009E76B8" w:rsidRDefault="00000000">
            <w:r>
              <w:t>154.50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200D07C" w14:textId="77777777" w:rsidR="009E76B8" w:rsidRDefault="00000000">
            <w:r>
              <w:t>中置百叶遮阳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4B0735" w14:textId="77777777" w:rsidR="009E76B8" w:rsidRDefault="00000000">
            <w:r>
              <w:t>154.50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D602DC8" w14:textId="77777777" w:rsidR="009E76B8" w:rsidRDefault="00000000">
            <w:r>
              <w:t>1.0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DC92DF7" w14:textId="77777777" w:rsidR="009E76B8" w:rsidRDefault="00000000">
            <w:r>
              <w:t>154.50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9F5548B" w14:textId="77777777" w:rsidR="009E76B8" w:rsidRDefault="00000000">
            <w:r>
              <w:t>100</w:t>
            </w:r>
          </w:p>
        </w:tc>
      </w:tr>
      <w:tr w:rsidR="009E76B8" w14:paraId="2AD30DEE" w14:textId="77777777">
        <w:trPr>
          <w:trHeight w:val="28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F9C83A5" w14:textId="77777777" w:rsidR="009E76B8" w:rsidRDefault="00000000">
            <w:r>
              <w:t>西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2731773" w14:textId="77777777" w:rsidR="009E76B8" w:rsidRDefault="00000000">
            <w:r>
              <w:t>206.27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4576DB2" w14:textId="77777777" w:rsidR="009E76B8" w:rsidRDefault="00000000">
            <w:r>
              <w:t>中置百叶遮阳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18141E" w14:textId="77777777" w:rsidR="009E76B8" w:rsidRDefault="00000000">
            <w:r>
              <w:t>206.27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BC87D31" w14:textId="77777777" w:rsidR="009E76B8" w:rsidRDefault="00000000">
            <w:r>
              <w:t>1.0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577A6C7" w14:textId="77777777" w:rsidR="009E76B8" w:rsidRDefault="00000000">
            <w:r>
              <w:t>206.27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46024D" w14:textId="77777777" w:rsidR="009E76B8" w:rsidRDefault="00000000">
            <w:r>
              <w:t>100</w:t>
            </w:r>
          </w:p>
        </w:tc>
      </w:tr>
      <w:tr w:rsidR="009E76B8" w14:paraId="26BFFA01" w14:textId="77777777">
        <w:trPr>
          <w:trHeight w:val="28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DCA21A6" w14:textId="77777777" w:rsidR="009E76B8" w:rsidRDefault="00000000">
            <w:r>
              <w:t>总计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E79D45D" w14:textId="77777777" w:rsidR="009E76B8" w:rsidRDefault="00000000">
            <w:r>
              <w:t>1227.32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2D4E5C1" w14:textId="77777777" w:rsidR="009E76B8" w:rsidRDefault="00000000">
            <w:r>
              <w:t>中置百叶遮阳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7EDB28" w14:textId="77777777" w:rsidR="009E76B8" w:rsidRDefault="00000000">
            <w:r>
              <w:t>1227.32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9AA504C" w14:textId="77777777" w:rsidR="009E76B8" w:rsidRDefault="00000000">
            <w:r>
              <w:t>1.0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5D72104" w14:textId="77777777" w:rsidR="009E76B8" w:rsidRDefault="00000000">
            <w:r>
              <w:t>1227.32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91A7324" w14:textId="77777777" w:rsidR="009E76B8" w:rsidRDefault="00000000">
            <w:r>
              <w:t>100</w:t>
            </w:r>
          </w:p>
        </w:tc>
      </w:tr>
    </w:tbl>
    <w:p w14:paraId="2DE6CE9B" w14:textId="77777777" w:rsidR="009E76B8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0A90ECC6" w14:textId="77777777" w:rsidR="009E76B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74D820F2" w14:textId="77777777" w:rsidR="009E76B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）建筑竣工图及设计说明；</w:t>
      </w:r>
    </w:p>
    <w:p w14:paraId="2274ECE3" w14:textId="77777777" w:rsidR="009E76B8" w:rsidRDefault="00000000">
      <w:pPr>
        <w:rPr>
          <w:rFonts w:ascii="Times New Roman" w:eastAsia="宋体" w:hAnsi="Times New Roman" w:cs="Times New Roman"/>
          <w:szCs w:val="21"/>
        </w:rPr>
      </w:pPr>
      <w:bookmarkStart w:id="0" w:name="_Toc9945122"/>
      <w:bookmarkStart w:id="1" w:name="_Toc9945405"/>
      <w:bookmarkStart w:id="2" w:name="_Toc9944698"/>
      <w:bookmarkStart w:id="3" w:name="_Toc9944978"/>
      <w:bookmarkStart w:id="4" w:name="_Toc9945264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）遮阳设计图纸及设计说明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7AB07570" w14:textId="77777777" w:rsidR="009E76B8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）遮阳装置产品说明书、招标文件、采购合同。</w:t>
      </w:r>
    </w:p>
    <w:p w14:paraId="5E9633A2" w14:textId="77777777" w:rsidR="009E76B8" w:rsidRDefault="00000000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E76B8" w14:paraId="33D2CB1B" w14:textId="77777777">
        <w:trPr>
          <w:trHeight w:val="1353"/>
          <w:jc w:val="center"/>
        </w:trPr>
        <w:tc>
          <w:tcPr>
            <w:tcW w:w="9356" w:type="dxa"/>
          </w:tcPr>
          <w:p w14:paraId="4347C80F" w14:textId="4533F6D3" w:rsidR="009E76B8" w:rsidRDefault="009E76B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38C6949D" w14:textId="77777777" w:rsidR="009E76B8" w:rsidRDefault="009E76B8"/>
    <w:sectPr w:rsidR="009E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2"/>
    <w:rsid w:val="00074A38"/>
    <w:rsid w:val="000A31B4"/>
    <w:rsid w:val="00465382"/>
    <w:rsid w:val="00902FBD"/>
    <w:rsid w:val="009E76B8"/>
    <w:rsid w:val="00A10105"/>
    <w:rsid w:val="00DE2A5C"/>
    <w:rsid w:val="00E46C9A"/>
    <w:rsid w:val="00FB45FC"/>
    <w:rsid w:val="41F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7B68"/>
  <w15:docId w15:val="{1C21C625-8CEB-4674-93DE-5200922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A90C27" w:rsidRDefault="00000000">
          <w:pPr>
            <w:pStyle w:val="4E03253B2D9B4DA5B0540EABC939B839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A90C27" w:rsidRDefault="00000000">
          <w:pPr>
            <w:pStyle w:val="708D77922E4447B1B220F5555960E81C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97"/>
    <w:rsid w:val="000C4865"/>
    <w:rsid w:val="00126997"/>
    <w:rsid w:val="00471C6D"/>
    <w:rsid w:val="00A10105"/>
    <w:rsid w:val="00A12F81"/>
    <w:rsid w:val="00A90C27"/>
    <w:rsid w:val="00C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E03253B2D9B4DA5B0540EABC939B839">
    <w:name w:val="4E03253B2D9B4DA5B0540EABC939B8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8D77922E4447B1B220F5555960E81C">
    <w:name w:val="708D77922E4447B1B220F5555960E81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4</cp:revision>
  <dcterms:created xsi:type="dcterms:W3CDTF">2019-07-12T07:55:00Z</dcterms:created>
  <dcterms:modified xsi:type="dcterms:W3CDTF">2025-03-16T09:53:00Z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BA7802FB1B204E8D8A9E6A288591263E_12</vt:lpwstr>
  </property>
</Properties>
</file>