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9ABA" w14:textId="77777777" w:rsidR="00B24523" w:rsidRDefault="00000000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 xml:space="preserve">8.2.6 </w:t>
      </w:r>
      <w:r>
        <w:rPr>
          <w:rFonts w:hint="eastAsia"/>
          <w:sz w:val="24"/>
          <w:szCs w:val="40"/>
        </w:rPr>
        <w:t>场地内的环境噪声优于现行国家标准《声环境质量标准》</w:t>
      </w:r>
      <w:r>
        <w:rPr>
          <w:rFonts w:hint="eastAsia"/>
          <w:sz w:val="24"/>
          <w:szCs w:val="40"/>
        </w:rPr>
        <w:t>GB 3096</w:t>
      </w:r>
      <w:r>
        <w:rPr>
          <w:rFonts w:hint="eastAsia"/>
          <w:sz w:val="24"/>
          <w:szCs w:val="40"/>
        </w:rPr>
        <w:t>的要求。（</w:t>
      </w:r>
      <w:r>
        <w:rPr>
          <w:rFonts w:hint="eastAsia"/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722FD67E" w14:textId="77777777" w:rsidR="00B24523" w:rsidRDefault="00000000">
      <w:pPr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5103"/>
        <w:gridCol w:w="1701"/>
        <w:gridCol w:w="1628"/>
      </w:tblGrid>
      <w:tr w:rsidR="00B24523" w14:paraId="6DFB075A" w14:textId="77777777">
        <w:trPr>
          <w:trHeight w:val="327"/>
          <w:jc w:val="center"/>
        </w:trPr>
        <w:tc>
          <w:tcPr>
            <w:tcW w:w="780" w:type="dxa"/>
            <w:vAlign w:val="center"/>
          </w:tcPr>
          <w:p w14:paraId="3044829B" w14:textId="77777777" w:rsidR="00B24523" w:rsidRDefault="0000000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4F533E43" w14:textId="77777777" w:rsidR="00B24523" w:rsidRDefault="0000000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78874E5" w14:textId="77777777" w:rsidR="00B24523" w:rsidRDefault="0000000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58F945E3" w14:textId="77777777" w:rsidR="00B24523" w:rsidRDefault="0000000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B24523" w14:paraId="36F2FD63" w14:textId="77777777">
        <w:trPr>
          <w:trHeight w:val="340"/>
          <w:jc w:val="center"/>
        </w:trPr>
        <w:tc>
          <w:tcPr>
            <w:tcW w:w="780" w:type="dxa"/>
            <w:vAlign w:val="center"/>
          </w:tcPr>
          <w:p w14:paraId="52560B7E" w14:textId="77777777" w:rsidR="00B24523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4A03CE18" w14:textId="77777777" w:rsidR="00B24523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类声环境功能区标准限值＜环境噪声值</w:t>
            </w:r>
            <w:r>
              <w:rPr>
                <w:rFonts w:ascii="Times New Roman" w:hAnsi="Times New Roman" w:cs="Times New Roman"/>
              </w:rPr>
              <w:t>≤3</w:t>
            </w:r>
            <w:r>
              <w:rPr>
                <w:rFonts w:ascii="Times New Roman" w:hAnsi="Times New Roman" w:cs="Times New Roman"/>
              </w:rPr>
              <w:t>类声环境功能区标准限值</w:t>
            </w:r>
          </w:p>
        </w:tc>
        <w:tc>
          <w:tcPr>
            <w:tcW w:w="1701" w:type="dxa"/>
            <w:vAlign w:val="center"/>
          </w:tcPr>
          <w:p w14:paraId="0F064916" w14:textId="77777777" w:rsidR="00B24523" w:rsidRDefault="0000000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Content>
            <w:tc>
              <w:tcPr>
                <w:tcW w:w="1628" w:type="dxa"/>
                <w:vMerge w:val="restart"/>
                <w:vAlign w:val="center"/>
              </w:tcPr>
              <w:p w14:paraId="7F2E86B6" w14:textId="77777777" w:rsidR="00B24523" w:rsidRDefault="00000000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5  </w:t>
                </w:r>
              </w:p>
            </w:tc>
          </w:sdtContent>
        </w:sdt>
      </w:tr>
      <w:tr w:rsidR="00B24523" w14:paraId="41C5FC99" w14:textId="77777777">
        <w:trPr>
          <w:trHeight w:val="340"/>
          <w:jc w:val="center"/>
        </w:trPr>
        <w:tc>
          <w:tcPr>
            <w:tcW w:w="780" w:type="dxa"/>
            <w:vAlign w:val="center"/>
          </w:tcPr>
          <w:p w14:paraId="22EF8FD1" w14:textId="77777777" w:rsidR="00B24523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5B6CF807" w14:textId="77777777" w:rsidR="00B24523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</w:t>
            </w:r>
            <w:r>
              <w:rPr>
                <w:rFonts w:ascii="Times New Roman" w:hAnsi="Times New Roman" w:cs="Times New Roman"/>
              </w:rPr>
              <w:t>≤2</w:t>
            </w:r>
            <w:r>
              <w:rPr>
                <w:rFonts w:ascii="Times New Roman" w:hAnsi="Times New Roman" w:cs="Times New Roman"/>
              </w:rPr>
              <w:t>类声环境功能区标准限值</w:t>
            </w:r>
          </w:p>
        </w:tc>
        <w:tc>
          <w:tcPr>
            <w:tcW w:w="1701" w:type="dxa"/>
            <w:vAlign w:val="center"/>
          </w:tcPr>
          <w:p w14:paraId="7E73F9BC" w14:textId="77777777" w:rsidR="00B24523" w:rsidRDefault="0000000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/>
            <w:vAlign w:val="center"/>
          </w:tcPr>
          <w:p w14:paraId="42408F4B" w14:textId="77777777" w:rsidR="00B24523" w:rsidRDefault="00B2452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B24523" w14:paraId="35B9F63E" w14:textId="77777777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14:paraId="637856F1" w14:textId="77777777" w:rsidR="00B24523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1AAC41D5" w14:textId="77777777" w:rsidR="00B24523" w:rsidRDefault="0000000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5D663988" w14:textId="77777777" w:rsidR="00B24523" w:rsidRDefault="00000000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5  </w:t>
                </w:r>
              </w:p>
            </w:tc>
          </w:sdtContent>
        </w:sdt>
      </w:tr>
    </w:tbl>
    <w:p w14:paraId="3A286837" w14:textId="77777777" w:rsidR="00B24523" w:rsidRDefault="00000000">
      <w:pPr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3B32C898" w14:textId="77777777" w:rsidR="00B24523" w:rsidRDefault="00000000">
      <w:pPr>
        <w:rPr>
          <w:lang w:val="zh-CN"/>
        </w:rPr>
      </w:pPr>
      <w:r>
        <w:rPr>
          <w:rFonts w:hint="eastAsia"/>
          <w:lang w:val="zh-CN"/>
        </w:rPr>
        <w:t>场地位于《声环境质量标准》</w:t>
      </w:r>
      <w:r>
        <w:rPr>
          <w:rFonts w:hint="eastAsia"/>
          <w:lang w:val="zh-CN"/>
        </w:rPr>
        <w:t>GB3096</w:t>
      </w:r>
      <w:r>
        <w:rPr>
          <w:rFonts w:hint="eastAsia"/>
          <w:lang w:val="zh-CN"/>
        </w:rPr>
        <w:t>中</w:t>
      </w:r>
      <w:sdt>
        <w:sdtPr>
          <w:rPr>
            <w:u w:val="single"/>
          </w:rPr>
          <w:id w:val="-1654213490"/>
        </w:sdt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2    </w:t>
          </w:r>
        </w:sdtContent>
      </w:sdt>
      <w:r>
        <w:rPr>
          <w:rFonts w:hint="eastAsia"/>
          <w:lang w:val="zh-CN"/>
        </w:rPr>
        <w:t>类型</w:t>
      </w:r>
    </w:p>
    <w:p w14:paraId="2646350E" w14:textId="77777777" w:rsidR="00B24523" w:rsidRDefault="00000000"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a7"/>
        <w:tblW w:w="827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656"/>
        <w:gridCol w:w="1656"/>
        <w:gridCol w:w="1655"/>
        <w:gridCol w:w="1655"/>
        <w:gridCol w:w="1656"/>
      </w:tblGrid>
      <w:tr w:rsidR="00B24523" w14:paraId="14D1519F" w14:textId="77777777">
        <w:tc>
          <w:tcPr>
            <w:tcW w:w="16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6E6E18A6" w14:textId="77777777" w:rsidR="00B24523" w:rsidRDefault="00000000">
            <w:pPr>
              <w:jc w:val="center"/>
            </w:pPr>
            <w:r>
              <w:rPr>
                <w:rFonts w:hint="eastAsia"/>
              </w:rPr>
              <w:t>时段</w:t>
            </w:r>
          </w:p>
        </w:tc>
        <w:tc>
          <w:tcPr>
            <w:tcW w:w="16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0B48BD9" w14:textId="77777777" w:rsidR="00B24523" w:rsidRDefault="00000000">
            <w:pPr>
              <w:jc w:val="center"/>
            </w:pPr>
            <w:r>
              <w:rPr>
                <w:rFonts w:hint="eastAsia"/>
              </w:rPr>
              <w:t>噪声最大值</w:t>
            </w:r>
          </w:p>
        </w:tc>
        <w:tc>
          <w:tcPr>
            <w:tcW w:w="16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7965BAE7" w14:textId="77777777" w:rsidR="00B24523" w:rsidRDefault="00000000">
            <w:pPr>
              <w:jc w:val="center"/>
            </w:pPr>
            <w:r>
              <w:t>2</w:t>
            </w:r>
            <w:r>
              <w:rPr>
                <w:rFonts w:hint="eastAsia"/>
              </w:rPr>
              <w:t>类噪声限值</w:t>
            </w:r>
          </w:p>
        </w:tc>
        <w:tc>
          <w:tcPr>
            <w:tcW w:w="16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4EC01D2A" w14:textId="77777777" w:rsidR="00B24523" w:rsidRDefault="00000000">
            <w:pPr>
              <w:jc w:val="center"/>
            </w:pPr>
            <w:r>
              <w:t>3</w:t>
            </w:r>
            <w:r>
              <w:rPr>
                <w:rFonts w:hint="eastAsia"/>
              </w:rPr>
              <w:t>类噪声限值</w:t>
            </w:r>
          </w:p>
        </w:tc>
        <w:tc>
          <w:tcPr>
            <w:tcW w:w="1660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3B2BA7CE" w14:textId="77777777" w:rsidR="00B24523" w:rsidRDefault="00000000">
            <w:pPr>
              <w:jc w:val="center"/>
            </w:pPr>
            <w:r>
              <w:rPr>
                <w:rFonts w:hint="eastAsia"/>
              </w:rPr>
              <w:t>得分情况</w:t>
            </w:r>
          </w:p>
        </w:tc>
      </w:tr>
      <w:tr w:rsidR="00B24523" w14:paraId="1BA02EA9" w14:textId="77777777">
        <w:tc>
          <w:tcPr>
            <w:tcW w:w="1659" w:type="dxa"/>
            <w:tcBorders>
              <w:top w:val="single" w:sz="6" w:space="0" w:color="000000" w:themeColor="text1"/>
            </w:tcBorders>
          </w:tcPr>
          <w:p w14:paraId="3D34F4B0" w14:textId="77777777" w:rsidR="00B24523" w:rsidRDefault="00000000">
            <w:pPr>
              <w:jc w:val="center"/>
            </w:pPr>
            <w:r>
              <w:rPr>
                <w:rFonts w:hint="eastAsia"/>
              </w:rPr>
              <w:t>昼间</w:t>
            </w:r>
          </w:p>
        </w:tc>
        <w:tc>
          <w:tcPr>
            <w:tcW w:w="1659" w:type="dxa"/>
            <w:tcBorders>
              <w:top w:val="single" w:sz="6" w:space="0" w:color="000000" w:themeColor="text1"/>
            </w:tcBorders>
          </w:tcPr>
          <w:p w14:paraId="339BD90F" w14:textId="77777777" w:rsidR="00B24523" w:rsidRDefault="00000000">
            <w:pPr>
              <w:jc w:val="center"/>
              <w:rPr>
                <w:b/>
              </w:rPr>
            </w:pPr>
            <w:bookmarkStart w:id="0" w:name="昼间噪声最大值"/>
            <w:r>
              <w:rPr>
                <w:b/>
              </w:rPr>
              <w:t>53</w:t>
            </w:r>
            <w:bookmarkEnd w:id="0"/>
          </w:p>
        </w:tc>
        <w:tc>
          <w:tcPr>
            <w:tcW w:w="1659" w:type="dxa"/>
            <w:tcBorders>
              <w:top w:val="single" w:sz="6" w:space="0" w:color="000000" w:themeColor="text1"/>
            </w:tcBorders>
          </w:tcPr>
          <w:p w14:paraId="7CE2D51C" w14:textId="77777777" w:rsidR="00B24523" w:rsidRDefault="00000000">
            <w:pPr>
              <w:jc w:val="center"/>
            </w:pPr>
            <w:r>
              <w:rPr>
                <w:bCs/>
              </w:rPr>
              <w:t>60</w:t>
            </w:r>
          </w:p>
        </w:tc>
        <w:tc>
          <w:tcPr>
            <w:tcW w:w="1659" w:type="dxa"/>
            <w:tcBorders>
              <w:top w:val="single" w:sz="6" w:space="0" w:color="000000" w:themeColor="text1"/>
            </w:tcBorders>
          </w:tcPr>
          <w:p w14:paraId="25168A03" w14:textId="77777777" w:rsidR="00B24523" w:rsidRDefault="00000000">
            <w:pPr>
              <w:jc w:val="center"/>
            </w:pPr>
            <w:r>
              <w:rPr>
                <w:bCs/>
              </w:rPr>
              <w:t>65</w:t>
            </w:r>
          </w:p>
        </w:tc>
        <w:tc>
          <w:tcPr>
            <w:tcW w:w="1660" w:type="dxa"/>
            <w:vMerge w:val="restart"/>
            <w:tcBorders>
              <w:top w:val="single" w:sz="6" w:space="0" w:color="000000" w:themeColor="text1"/>
            </w:tcBorders>
            <w:vAlign w:val="center"/>
          </w:tcPr>
          <w:p w14:paraId="6CB94BDC" w14:textId="77777777" w:rsidR="00B24523" w:rsidRDefault="00000000">
            <w:pPr>
              <w:jc w:val="center"/>
              <w:rPr>
                <w:b/>
                <w:bCs/>
              </w:rPr>
            </w:pPr>
            <w:bookmarkStart w:id="1" w:name="得分情况"/>
            <w:r>
              <w:rPr>
                <w:b/>
                <w:bCs/>
              </w:rPr>
              <w:t>10</w:t>
            </w:r>
            <w:bookmarkEnd w:id="1"/>
            <w:r>
              <w:rPr>
                <w:rFonts w:hint="eastAsia"/>
                <w:b/>
                <w:bCs/>
              </w:rPr>
              <w:t>分</w:t>
            </w:r>
          </w:p>
        </w:tc>
      </w:tr>
      <w:tr w:rsidR="00B24523" w14:paraId="721EBF22" w14:textId="77777777">
        <w:tc>
          <w:tcPr>
            <w:tcW w:w="1659" w:type="dxa"/>
          </w:tcPr>
          <w:p w14:paraId="6B2AC70F" w14:textId="77777777" w:rsidR="00B24523" w:rsidRDefault="00000000">
            <w:pPr>
              <w:jc w:val="center"/>
            </w:pPr>
            <w:r>
              <w:rPr>
                <w:rFonts w:hint="eastAsia"/>
              </w:rPr>
              <w:t>夜间</w:t>
            </w:r>
          </w:p>
        </w:tc>
        <w:tc>
          <w:tcPr>
            <w:tcW w:w="1659" w:type="dxa"/>
          </w:tcPr>
          <w:p w14:paraId="63237718" w14:textId="77777777" w:rsidR="00B24523" w:rsidRDefault="00000000">
            <w:pPr>
              <w:jc w:val="center"/>
              <w:rPr>
                <w:b/>
              </w:rPr>
            </w:pPr>
            <w:bookmarkStart w:id="2" w:name="夜间噪声最大值"/>
            <w:r>
              <w:rPr>
                <w:b/>
              </w:rPr>
              <w:t>47</w:t>
            </w:r>
            <w:bookmarkEnd w:id="2"/>
          </w:p>
        </w:tc>
        <w:tc>
          <w:tcPr>
            <w:tcW w:w="1659" w:type="dxa"/>
          </w:tcPr>
          <w:p w14:paraId="629CBC3E" w14:textId="77777777" w:rsidR="00B24523" w:rsidRDefault="00000000">
            <w:pPr>
              <w:jc w:val="center"/>
              <w:rPr>
                <w:b/>
              </w:rPr>
            </w:pPr>
            <w:r>
              <w:rPr>
                <w:bCs/>
              </w:rPr>
              <w:t>50</w:t>
            </w:r>
          </w:p>
        </w:tc>
        <w:tc>
          <w:tcPr>
            <w:tcW w:w="1659" w:type="dxa"/>
          </w:tcPr>
          <w:p w14:paraId="31EE7F46" w14:textId="77777777" w:rsidR="00B24523" w:rsidRDefault="00000000">
            <w:pPr>
              <w:jc w:val="center"/>
              <w:rPr>
                <w:b/>
              </w:rPr>
            </w:pPr>
            <w:r>
              <w:rPr>
                <w:bCs/>
              </w:rPr>
              <w:t>55</w:t>
            </w:r>
          </w:p>
        </w:tc>
        <w:tc>
          <w:tcPr>
            <w:tcW w:w="1660" w:type="dxa"/>
            <w:vMerge/>
          </w:tcPr>
          <w:p w14:paraId="259577B9" w14:textId="77777777" w:rsidR="00B24523" w:rsidRDefault="00B24523">
            <w:pPr>
              <w:jc w:val="center"/>
              <w:rPr>
                <w:b/>
              </w:rPr>
            </w:pPr>
          </w:p>
        </w:tc>
      </w:tr>
    </w:tbl>
    <w:p w14:paraId="20976DC5" w14:textId="77777777" w:rsidR="00B24523" w:rsidRDefault="00B24523">
      <w:pPr>
        <w:spacing w:line="276" w:lineRule="auto"/>
        <w:ind w:firstLineChars="200" w:firstLine="420"/>
        <w:rPr>
          <w:rFonts w:ascii="Times New Roman" w:hAnsi="Times New Roman"/>
          <w:szCs w:val="21"/>
        </w:rPr>
      </w:pPr>
    </w:p>
    <w:p w14:paraId="6C5AE020" w14:textId="77777777" w:rsidR="00B24523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24523" w14:paraId="772D93C0" w14:textId="77777777">
        <w:trPr>
          <w:trHeight w:val="1633"/>
          <w:jc w:val="center"/>
        </w:trPr>
        <w:tc>
          <w:tcPr>
            <w:tcW w:w="9356" w:type="dxa"/>
          </w:tcPr>
          <w:p w14:paraId="7555295A" w14:textId="77777777" w:rsidR="00B24523" w:rsidRDefault="00000000">
            <w:pPr>
              <w:ind w:firstLineChars="200" w:firstLine="400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1"/>
              </w:rPr>
              <w:t>本项目场地噪声主要来源于校区外交通噪声及操场噪声，噪声值满足标准要求。</w:t>
            </w:r>
          </w:p>
          <w:p w14:paraId="5F205A1A" w14:textId="77777777" w:rsidR="00B24523" w:rsidRDefault="00000000">
            <w:pPr>
              <w:ind w:firstLineChars="200" w:firstLine="400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 w14:paraId="2A8A13B4" w14:textId="77777777" w:rsidR="00B24523" w:rsidRDefault="00000000">
      <w:pPr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0E22AA0C" w14:textId="77777777" w:rsidR="00B24523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62E2570A" w14:textId="77777777" w:rsidR="00B24523" w:rsidRDefault="00000000">
      <w:pPr>
        <w:ind w:left="210" w:hangingChars="100" w:hanging="21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 w14:paraId="2031FBD1" w14:textId="77777777" w:rsidR="00B24523" w:rsidRDefault="00000000">
      <w:pPr>
        <w:ind w:left="210" w:hangingChars="100" w:hanging="210"/>
      </w:pPr>
      <w:r>
        <w:rPr>
          <w:rFonts w:hint="eastAsia"/>
        </w:rPr>
        <w:t>2</w:t>
      </w:r>
      <w:r>
        <w:rPr>
          <w:rFonts w:hint="eastAsia"/>
        </w:rPr>
        <w:t>）场地交通组织说明；降噪竣工图纸，包括道路声屏障、低噪声路面的设计内容；</w:t>
      </w:r>
    </w:p>
    <w:p w14:paraId="38964AF5" w14:textId="77777777" w:rsidR="00B24523" w:rsidRDefault="00000000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）规划总平面图、景观园林总平面图；</w:t>
      </w:r>
    </w:p>
    <w:p w14:paraId="78C65E29" w14:textId="77777777" w:rsidR="00B24523" w:rsidRDefault="00000000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）场地环境噪声检测报告及规划验收报告。</w:t>
      </w:r>
    </w:p>
    <w:p w14:paraId="6D173DD5" w14:textId="77777777" w:rsidR="00B24523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24523" w14:paraId="758D81AB" w14:textId="77777777">
        <w:trPr>
          <w:trHeight w:val="1975"/>
          <w:jc w:val="center"/>
        </w:trPr>
        <w:tc>
          <w:tcPr>
            <w:tcW w:w="9356" w:type="dxa"/>
          </w:tcPr>
          <w:p w14:paraId="2FAC06CC" w14:textId="5ABAF9A7" w:rsidR="00B24523" w:rsidRDefault="00B24523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50B47ADA" w14:textId="77777777" w:rsidR="00B24523" w:rsidRDefault="00B24523"/>
    <w:sectPr w:rsidR="00B24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CF"/>
    <w:rsid w:val="00074A38"/>
    <w:rsid w:val="002E3610"/>
    <w:rsid w:val="003D2153"/>
    <w:rsid w:val="005F4B17"/>
    <w:rsid w:val="00615F28"/>
    <w:rsid w:val="008105B1"/>
    <w:rsid w:val="00A616E8"/>
    <w:rsid w:val="00B24523"/>
    <w:rsid w:val="00B2454A"/>
    <w:rsid w:val="00C011D7"/>
    <w:rsid w:val="00D24ACF"/>
    <w:rsid w:val="00D4259B"/>
    <w:rsid w:val="00D672E6"/>
    <w:rsid w:val="0C3B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7612"/>
  <w15:docId w15:val="{F16013A3-3E06-4EC1-942F-B1750E72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4A60ABC0774105A725E94FC305A2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EF554C-2CE3-4BA7-AE50-F56B8E68BBBE}"/>
      </w:docPartPr>
      <w:docPartBody>
        <w:p w:rsidR="00B75D2C" w:rsidRDefault="00000000">
          <w:pPr>
            <w:pStyle w:val="474A60ABC0774105A725E94FC305A2DD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78FC7E-F365-4062-A1E0-7637A49A1929}"/>
      </w:docPartPr>
      <w:docPartBody>
        <w:p w:rsidR="00B75D2C" w:rsidRDefault="00000000">
          <w:pPr>
            <w:pStyle w:val="62758D5B5AFB498298A81B9AB38B6DA4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77"/>
    <w:rsid w:val="00005777"/>
    <w:rsid w:val="007303AC"/>
    <w:rsid w:val="007D74A9"/>
    <w:rsid w:val="008965EA"/>
    <w:rsid w:val="00AC3B89"/>
    <w:rsid w:val="00B43AB7"/>
    <w:rsid w:val="00B75D2C"/>
    <w:rsid w:val="00C011D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474A60ABC0774105A725E94FC305A2DD">
    <w:name w:val="474A60ABC0774105A725E94FC305A2DD"/>
    <w:pPr>
      <w:widowControl w:val="0"/>
      <w:jc w:val="both"/>
    </w:pPr>
    <w:rPr>
      <w:kern w:val="2"/>
      <w:sz w:val="21"/>
      <w:szCs w:val="22"/>
    </w:rPr>
  </w:style>
  <w:style w:type="paragraph" w:customStyle="1" w:styleId="62758D5B5AFB498298A81B9AB38B6DA4">
    <w:name w:val="62758D5B5AFB498298A81B9AB38B6DA4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t24685</cp:lastModifiedBy>
  <cp:revision>7</cp:revision>
  <dcterms:created xsi:type="dcterms:W3CDTF">2019-07-12T08:17:00Z</dcterms:created>
  <dcterms:modified xsi:type="dcterms:W3CDTF">2025-03-16T11:42:00Z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6CA2C1BD8C7D4BFEBC78852CFB310C6E_12</vt:lpwstr>
  </property>
</Properties>
</file>